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b/>
          <w:color w:val="000000"/>
          <w:sz w:val="24"/>
          <w:szCs w:val="24"/>
        </w:rPr>
      </w:pPr>
    </w:p>
    <w:p>
      <w:pPr>
        <w:jc w:val="center"/>
        <w:rPr>
          <w:rFonts w:hint="eastAsia" w:ascii="黑体" w:hAnsi="黑体" w:eastAsia="黑体" w:cs="黑体"/>
          <w:b w:val="0"/>
          <w:bCs w:val="0"/>
          <w:color w:val="000000"/>
          <w:sz w:val="30"/>
          <w:szCs w:val="30"/>
        </w:rPr>
      </w:pPr>
      <w:r>
        <w:rPr>
          <w:rFonts w:hint="eastAsia" w:ascii="黑体" w:hAnsi="黑体" w:eastAsia="黑体" w:cs="黑体"/>
          <w:b w:val="0"/>
          <w:bCs w:val="0"/>
          <w:color w:val="000000"/>
          <w:sz w:val="30"/>
          <w:szCs w:val="30"/>
        </w:rPr>
        <w:t>不同辅助化疗</w:t>
      </w:r>
      <w:r>
        <w:rPr>
          <w:rFonts w:hint="eastAsia" w:ascii="黑体" w:hAnsi="黑体" w:eastAsia="黑体" w:cs="黑体"/>
          <w:b w:val="0"/>
          <w:bCs w:val="0"/>
          <w:color w:val="000000"/>
          <w:sz w:val="30"/>
          <w:szCs w:val="30"/>
          <w:lang w:eastAsia="zh-CN"/>
        </w:rPr>
        <w:t>方案</w:t>
      </w:r>
      <w:r>
        <w:rPr>
          <w:rFonts w:hint="eastAsia" w:ascii="黑体" w:hAnsi="黑体" w:eastAsia="黑体" w:cs="黑体"/>
          <w:b w:val="0"/>
          <w:bCs w:val="0"/>
          <w:color w:val="000000"/>
          <w:sz w:val="30"/>
          <w:szCs w:val="30"/>
        </w:rPr>
        <w:t>对</w:t>
      </w:r>
      <w:r>
        <w:rPr>
          <w:rStyle w:val="5"/>
          <w:rFonts w:hint="eastAsia" w:ascii="黑体" w:hAnsi="黑体" w:eastAsia="黑体" w:cs="黑体"/>
          <w:b w:val="0"/>
          <w:bCs w:val="0"/>
          <w:i w:val="0"/>
          <w:caps w:val="0"/>
          <w:color w:val="333333"/>
          <w:spacing w:val="0"/>
          <w:sz w:val="30"/>
          <w:szCs w:val="30"/>
          <w:shd w:val="clear" w:color="auto" w:fill="FFFFFF"/>
        </w:rPr>
        <w:t>Ⅲ</w:t>
      </w:r>
      <w:r>
        <w:rPr>
          <w:rFonts w:hint="eastAsia" w:ascii="黑体" w:hAnsi="黑体" w:eastAsia="黑体" w:cs="黑体"/>
          <w:b w:val="0"/>
          <w:bCs w:val="0"/>
          <w:color w:val="000000"/>
          <w:sz w:val="30"/>
          <w:szCs w:val="30"/>
        </w:rPr>
        <w:t>期结肠癌术后相关血液指标影响的分析</w:t>
      </w:r>
    </w:p>
    <w:p>
      <w:pPr>
        <w:jc w:val="center"/>
        <w:rPr>
          <w:rFonts w:hint="eastAsia" w:ascii="黑体" w:hAnsi="黑体" w:eastAsia="黑体" w:cs="黑体"/>
          <w:b w:val="0"/>
          <w:bCs w:val="0"/>
          <w:color w:val="000000"/>
          <w:sz w:val="30"/>
          <w:szCs w:val="30"/>
        </w:rPr>
      </w:pPr>
    </w:p>
    <w:p>
      <w:pPr>
        <w:pStyle w:val="13"/>
        <w:spacing w:line="400" w:lineRule="exact"/>
        <w:jc w:val="center"/>
        <w:rPr>
          <w:rFonts w:hint="eastAsia" w:ascii="宋体" w:hAnsi="宋体"/>
          <w:bCs/>
          <w:sz w:val="24"/>
          <w:szCs w:val="24"/>
        </w:rPr>
      </w:pPr>
      <w:r>
        <w:rPr>
          <w:rFonts w:hint="eastAsia" w:ascii="宋体" w:hAnsi="宋体"/>
          <w:bCs/>
          <w:sz w:val="24"/>
          <w:szCs w:val="24"/>
        </w:rPr>
        <w:t>研 究 生：</w:t>
      </w:r>
      <w:r>
        <w:rPr>
          <w:rFonts w:hint="eastAsia" w:ascii="宋体" w:hAnsi="宋体"/>
          <w:bCs/>
          <w:sz w:val="24"/>
          <w:szCs w:val="24"/>
          <w:lang w:eastAsia="zh-CN"/>
        </w:rPr>
        <w:t>魏正阔</w:t>
      </w:r>
      <w:r>
        <w:rPr>
          <w:rFonts w:hint="eastAsia" w:ascii="宋体" w:hAnsi="宋体"/>
          <w:bCs/>
          <w:sz w:val="24"/>
          <w:szCs w:val="24"/>
        </w:rPr>
        <w:t xml:space="preserve">       </w:t>
      </w:r>
    </w:p>
    <w:p>
      <w:pPr>
        <w:jc w:val="center"/>
        <w:rPr>
          <w:rFonts w:hint="eastAsia" w:ascii="宋体" w:hAnsi="宋体"/>
          <w:bCs/>
          <w:sz w:val="24"/>
          <w:szCs w:val="24"/>
          <w:lang w:eastAsia="zh-CN"/>
        </w:rPr>
      </w:pPr>
      <w:r>
        <w:rPr>
          <w:rFonts w:hint="eastAsia" w:ascii="宋体" w:hAnsi="宋体"/>
          <w:bCs/>
          <w:sz w:val="24"/>
          <w:szCs w:val="24"/>
        </w:rPr>
        <w:t>指导</w:t>
      </w:r>
      <w:r>
        <w:rPr>
          <w:rFonts w:hint="eastAsia" w:ascii="宋体" w:hAnsi="宋体"/>
          <w:bCs/>
          <w:sz w:val="24"/>
          <w:szCs w:val="24"/>
          <w:lang w:eastAsia="zh-CN"/>
        </w:rPr>
        <w:t>教师</w:t>
      </w:r>
      <w:r>
        <w:rPr>
          <w:rFonts w:hint="eastAsia" w:ascii="宋体" w:hAnsi="宋体"/>
          <w:bCs/>
          <w:sz w:val="24"/>
          <w:szCs w:val="24"/>
        </w:rPr>
        <w:t>：</w:t>
      </w:r>
      <w:r>
        <w:rPr>
          <w:rFonts w:hint="eastAsia" w:ascii="宋体" w:hAnsi="宋体"/>
          <w:bCs/>
          <w:sz w:val="24"/>
          <w:szCs w:val="24"/>
          <w:lang w:eastAsia="zh-CN"/>
        </w:rPr>
        <w:t>谢振斌</w:t>
      </w:r>
    </w:p>
    <w:p>
      <w:pPr>
        <w:jc w:val="center"/>
        <w:rPr>
          <w:rFonts w:hint="eastAsia" w:ascii="宋体" w:hAnsi="宋体"/>
          <w:bCs/>
          <w:sz w:val="24"/>
          <w:szCs w:val="24"/>
          <w:lang w:eastAsia="zh-CN"/>
        </w:rPr>
      </w:pPr>
    </w:p>
    <w:p>
      <w:pPr>
        <w:jc w:val="center"/>
        <w:rPr>
          <w:rFonts w:hint="eastAsia" w:ascii="黑体" w:hAnsi="黑体" w:eastAsia="黑体"/>
          <w:b w:val="0"/>
          <w:bCs/>
          <w:color w:val="000000"/>
          <w:sz w:val="30"/>
          <w:szCs w:val="30"/>
        </w:rPr>
      </w:pPr>
      <w:r>
        <w:rPr>
          <w:rFonts w:hint="eastAsia" w:ascii="黑体" w:hAnsi="黑体" w:eastAsia="黑体"/>
          <w:b w:val="0"/>
          <w:bCs/>
          <w:color w:val="000000"/>
          <w:sz w:val="30"/>
          <w:szCs w:val="30"/>
        </w:rPr>
        <w:t>摘  要</w:t>
      </w:r>
    </w:p>
    <w:p>
      <w:pPr>
        <w:spacing w:line="360" w:lineRule="auto"/>
        <w:rPr>
          <w:rFonts w:hint="eastAsia" w:ascii="黑体" w:hAnsi="黑体" w:eastAsia="黑体" w:cs="黑体"/>
          <w:b w:val="0"/>
          <w:bCs w:val="0"/>
          <w:color w:val="000000"/>
          <w:sz w:val="24"/>
          <w:szCs w:val="24"/>
        </w:rPr>
      </w:pPr>
      <w:r>
        <w:rPr>
          <w:rFonts w:hint="eastAsia" w:ascii="黑体" w:hAnsi="黑体" w:eastAsia="黑体" w:cs="黑体"/>
          <w:color w:val="000000"/>
          <w:sz w:val="28"/>
          <w:szCs w:val="28"/>
          <w:lang w:val="en-US" w:eastAsia="zh-CN"/>
        </w:rPr>
        <w:t xml:space="preserve">   </w:t>
      </w:r>
      <w:r>
        <w:rPr>
          <w:rFonts w:hint="eastAsia" w:ascii="黑体" w:hAnsi="黑体" w:eastAsia="黑体" w:cs="黑体"/>
          <w:b w:val="0"/>
          <w:bCs w:val="0"/>
          <w:color w:val="000000"/>
          <w:sz w:val="24"/>
          <w:szCs w:val="24"/>
        </w:rPr>
        <w:t>背景</w:t>
      </w:r>
    </w:p>
    <w:p>
      <w:pPr>
        <w:spacing w:line="360" w:lineRule="auto"/>
        <w:rPr>
          <w:rFonts w:hint="eastAsia" w:ascii="黑体" w:hAnsi="黑体" w:eastAsia="黑体" w:cs="黑体"/>
          <w:color w:val="000000"/>
          <w:sz w:val="28"/>
          <w:szCs w:val="28"/>
          <w:lang w:val="en-US" w:eastAsia="zh-CN"/>
        </w:rPr>
      </w:pPr>
      <w:r>
        <w:rPr>
          <w:rFonts w:hint="eastAsia" w:ascii="黑体" w:hAnsi="黑体" w:eastAsia="黑体" w:cs="黑体"/>
          <w:color w:val="000000"/>
          <w:sz w:val="28"/>
          <w:szCs w:val="28"/>
        </w:rPr>
        <w:t xml:space="preserve"> </w:t>
      </w:r>
      <w:r>
        <w:rPr>
          <w:rFonts w:hint="eastAsia" w:ascii="黑体" w:hAnsi="黑体" w:eastAsia="黑体" w:cs="黑体"/>
          <w:color w:val="000000"/>
          <w:sz w:val="28"/>
          <w:szCs w:val="28"/>
          <w:lang w:val="en-US" w:eastAsia="zh-CN"/>
        </w:rPr>
        <w:t xml:space="preserve">  </w:t>
      </w:r>
      <w:r>
        <w:rPr>
          <w:rFonts w:hint="eastAsia" w:ascii="宋体" w:hAnsi="宋体" w:eastAsia="宋体" w:cs="宋体"/>
          <w:color w:val="000000"/>
          <w:sz w:val="24"/>
          <w:szCs w:val="24"/>
        </w:rPr>
        <w:t>结肠癌是消化道系统常见恶性肿瘤，近年来其发病率呈逐年升高趋势，对于有机会切除的结肠癌患者，手术仍是目前治疗的基础手段</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但是由于结肠的解剖因素和癌症的自身特点，其术后局部复发和远处转移率高，是影响患者生活质量和远期生存的主要原因</w:t>
      </w:r>
      <w:r>
        <w:rPr>
          <w:rFonts w:hint="eastAsia" w:ascii="宋体" w:hAnsi="宋体" w:eastAsia="宋体" w:cs="宋体"/>
          <w:color w:val="000000"/>
          <w:sz w:val="24"/>
          <w:szCs w:val="24"/>
          <w:vertAlign w:val="superscript"/>
        </w:rPr>
        <w:t>[1]</w:t>
      </w:r>
      <w:r>
        <w:rPr>
          <w:rFonts w:hint="eastAsia" w:ascii="宋体" w:hAnsi="宋体" w:eastAsia="宋体" w:cs="宋体"/>
          <w:color w:val="000000"/>
          <w:sz w:val="24"/>
          <w:szCs w:val="24"/>
        </w:rPr>
        <w:t>。大量临床试验证实</w:t>
      </w:r>
      <w:r>
        <w:rPr>
          <w:rFonts w:hint="eastAsia" w:ascii="宋体" w:hAnsi="宋体" w:eastAsia="宋体" w:cs="宋体"/>
          <w:color w:val="000000"/>
          <w:sz w:val="24"/>
          <w:szCs w:val="24"/>
          <w:vertAlign w:val="superscript"/>
        </w:rPr>
        <w:t>[2-5]</w:t>
      </w:r>
      <w:r>
        <w:rPr>
          <w:rFonts w:hint="eastAsia" w:ascii="宋体" w:hAnsi="宋体" w:eastAsia="宋体" w:cs="宋体"/>
          <w:color w:val="000000"/>
          <w:sz w:val="24"/>
          <w:szCs w:val="24"/>
        </w:rPr>
        <w:t>术后辅助化疗能够有效降低结肠癌患者术后复发转移率，能够明显提高患者术后五年生存率及延长无病生存期，甚至为治愈肿瘤提供可能。氟尿嘧啶是经典的一线化疗药物，其临床效果已经大量临床试验所证实，近年来其衍生物的大量出现为术后辅助化疗提供了新的方法。根据最新的NCCN指南对</w:t>
      </w:r>
      <w:r>
        <w:rPr>
          <w:rFonts w:hint="eastAsia" w:ascii="宋体" w:hAnsi="宋体" w:eastAsia="宋体" w:cs="宋体"/>
          <w:color w:val="000000"/>
          <w:sz w:val="24"/>
          <w:szCs w:val="24"/>
          <w:lang w:eastAsia="zh-CN"/>
        </w:rPr>
        <w:t>结</w:t>
      </w:r>
      <w:r>
        <w:rPr>
          <w:rFonts w:hint="eastAsia" w:ascii="宋体" w:hAnsi="宋体" w:eastAsia="宋体" w:cs="宋体"/>
          <w:color w:val="000000"/>
          <w:sz w:val="24"/>
          <w:szCs w:val="24"/>
        </w:rPr>
        <w:t>肠癌术后辅助化疗的解读指出，对于</w:t>
      </w:r>
      <w:r>
        <w:rPr>
          <w:rStyle w:val="5"/>
          <w:rFonts w:hint="eastAsia" w:ascii="宋体" w:hAnsi="宋体" w:eastAsia="宋体" w:cs="宋体"/>
          <w:b/>
          <w:i w:val="0"/>
          <w:caps w:val="0"/>
          <w:color w:val="333333"/>
          <w:spacing w:val="0"/>
          <w:sz w:val="24"/>
          <w:szCs w:val="24"/>
          <w:shd w:val="clear" w:color="auto" w:fill="FFFFFF"/>
        </w:rPr>
        <w:t>Ⅲ</w:t>
      </w:r>
      <w:r>
        <w:rPr>
          <w:rFonts w:hint="eastAsia" w:ascii="宋体" w:hAnsi="宋体" w:eastAsia="宋体" w:cs="宋体"/>
          <w:color w:val="000000"/>
          <w:sz w:val="24"/>
          <w:szCs w:val="24"/>
        </w:rPr>
        <w:t>期患者，指南推荐给予 6 个月的辅助化疗，化疗方案包括 FOLFOX（优选）、XELOX（优选）、FLOX、5-FU/LV 以及卡培他滨用于不适合奥沙利铂治疗的病人。FOLFOX方案和XELOX方案经大量临床证实对结肠癌患者的辅助化疗安全有效</w:t>
      </w:r>
      <w:r>
        <w:rPr>
          <w:rFonts w:hint="eastAsia" w:ascii="宋体" w:hAnsi="宋体" w:eastAsia="宋体" w:cs="宋体"/>
          <w:color w:val="000000"/>
          <w:sz w:val="24"/>
          <w:szCs w:val="24"/>
          <w:vertAlign w:val="superscript"/>
        </w:rPr>
        <w:t>[6-10]</w:t>
      </w:r>
      <w:r>
        <w:rPr>
          <w:rFonts w:hint="eastAsia" w:ascii="宋体" w:hAnsi="宋体" w:eastAsia="宋体" w:cs="宋体"/>
          <w:color w:val="000000"/>
          <w:sz w:val="24"/>
          <w:szCs w:val="24"/>
        </w:rPr>
        <w:t>。氟尿嘧啶缓释剂是近年来应用于临床的术中植入化疗药，相关研究证实其能在不明显增加患者术后并发症的基础上起到较早的化疗效果</w:t>
      </w:r>
      <w:r>
        <w:rPr>
          <w:rFonts w:hint="eastAsia" w:ascii="宋体" w:hAnsi="宋体" w:eastAsia="宋体" w:cs="宋体"/>
          <w:color w:val="000000"/>
          <w:sz w:val="24"/>
          <w:szCs w:val="24"/>
          <w:vertAlign w:val="superscript"/>
        </w:rPr>
        <w:t>[11-14]</w:t>
      </w:r>
      <w:r>
        <w:rPr>
          <w:rFonts w:hint="eastAsia" w:ascii="宋体" w:hAnsi="宋体" w:eastAsia="宋体" w:cs="宋体"/>
          <w:color w:val="000000"/>
          <w:sz w:val="24"/>
          <w:szCs w:val="24"/>
        </w:rPr>
        <w:t>。</w:t>
      </w:r>
      <w:r>
        <w:rPr>
          <w:rFonts w:hint="eastAsia" w:ascii="宋体" w:hAnsi="宋体" w:eastAsia="宋体" w:cs="宋体"/>
          <w:color w:val="000000"/>
          <w:sz w:val="24"/>
          <w:szCs w:val="24"/>
          <w:vertAlign w:val="baseline"/>
          <w:lang w:eastAsia="zh-CN"/>
        </w:rPr>
        <w:t>因此如何</w:t>
      </w:r>
      <w:r>
        <w:rPr>
          <w:rFonts w:hint="eastAsia" w:ascii="宋体" w:hAnsi="宋体" w:eastAsia="宋体" w:cs="宋体"/>
          <w:color w:val="000000"/>
          <w:sz w:val="24"/>
          <w:szCs w:val="24"/>
        </w:rPr>
        <w:t>为患者</w:t>
      </w:r>
      <w:r>
        <w:rPr>
          <w:rFonts w:hint="eastAsia" w:ascii="宋体" w:hAnsi="宋体" w:eastAsia="宋体" w:cs="宋体"/>
          <w:color w:val="000000"/>
          <w:sz w:val="24"/>
          <w:szCs w:val="24"/>
          <w:lang w:eastAsia="zh-CN"/>
        </w:rPr>
        <w:t>制定最合适的方案是辅助化疗的首要问题</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 xml:space="preserve">  </w:t>
      </w:r>
      <w:r>
        <w:rPr>
          <w:rFonts w:hint="eastAsia" w:ascii="黑体" w:hAnsi="黑体" w:eastAsia="黑体" w:cs="黑体"/>
          <w:color w:val="000000"/>
          <w:sz w:val="28"/>
          <w:szCs w:val="28"/>
          <w:lang w:val="en-US" w:eastAsia="zh-CN"/>
        </w:rPr>
        <w:t xml:space="preserve"> </w:t>
      </w:r>
    </w:p>
    <w:p>
      <w:pPr>
        <w:spacing w:line="360" w:lineRule="auto"/>
        <w:rPr>
          <w:rFonts w:hint="eastAsia" w:ascii="宋体" w:hAnsi="宋体" w:cs="宋体"/>
          <w:b/>
          <w:bCs/>
          <w:color w:val="000000"/>
          <w:sz w:val="24"/>
        </w:rPr>
      </w:pPr>
      <w:r>
        <w:rPr>
          <w:rFonts w:hint="eastAsia" w:ascii="黑体" w:hAnsi="黑体" w:eastAsia="黑体" w:cs="黑体"/>
          <w:color w:val="000000"/>
          <w:sz w:val="28"/>
          <w:szCs w:val="28"/>
          <w:lang w:val="en-US" w:eastAsia="zh-CN"/>
        </w:rPr>
        <w:t xml:space="preserve">   </w:t>
      </w:r>
      <w:r>
        <w:rPr>
          <w:rFonts w:hint="eastAsia" w:ascii="黑体" w:hAnsi="黑体" w:eastAsia="黑体" w:cs="黑体"/>
          <w:b w:val="0"/>
          <w:bCs w:val="0"/>
          <w:color w:val="000000"/>
          <w:sz w:val="24"/>
          <w:szCs w:val="24"/>
        </w:rPr>
        <w:t>目的</w:t>
      </w:r>
      <w:r>
        <w:rPr>
          <w:rFonts w:hint="eastAsia" w:ascii="宋体" w:hAnsi="宋体" w:cs="宋体"/>
          <w:b/>
          <w:bCs/>
          <w:color w:val="000000"/>
          <w:sz w:val="24"/>
          <w:szCs w:val="24"/>
        </w:rPr>
        <w:t xml:space="preserve"> </w:t>
      </w:r>
    </w:p>
    <w:p>
      <w:pPr>
        <w:spacing w:line="360" w:lineRule="auto"/>
        <w:jc w:val="left"/>
        <w:rPr>
          <w:rFonts w:hint="eastAsia"/>
          <w:color w:val="000000"/>
          <w:sz w:val="24"/>
        </w:rPr>
      </w:pPr>
      <w:r>
        <w:rPr>
          <w:rFonts w:hint="eastAsia" w:ascii="宋体" w:hAnsi="宋体" w:cs="宋体"/>
          <w:b/>
          <w:bCs/>
          <w:color w:val="000000"/>
          <w:sz w:val="24"/>
          <w:lang w:val="en-US" w:eastAsia="zh-CN"/>
        </w:rPr>
        <w:t xml:space="preserve">   </w:t>
      </w:r>
      <w:r>
        <w:rPr>
          <w:rFonts w:hint="eastAsia" w:ascii="宋体" w:hAnsi="宋体" w:eastAsia="宋体" w:cs="宋体"/>
          <w:color w:val="000000"/>
          <w:sz w:val="24"/>
        </w:rPr>
        <w:t>通过对</w:t>
      </w:r>
      <w:r>
        <w:rPr>
          <w:rStyle w:val="5"/>
          <w:rFonts w:hint="eastAsia" w:ascii="宋体" w:hAnsi="宋体" w:eastAsia="宋体" w:cs="宋体"/>
          <w:b/>
          <w:i w:val="0"/>
          <w:caps w:val="0"/>
          <w:color w:val="333333"/>
          <w:spacing w:val="0"/>
          <w:sz w:val="24"/>
          <w:szCs w:val="24"/>
          <w:shd w:val="clear" w:color="auto" w:fill="FFFFFF"/>
        </w:rPr>
        <w:t>Ⅲ</w:t>
      </w:r>
      <w:r>
        <w:rPr>
          <w:rFonts w:hint="eastAsia" w:ascii="宋体" w:hAnsi="宋体" w:eastAsia="宋体" w:cs="宋体"/>
          <w:color w:val="000000"/>
          <w:sz w:val="24"/>
          <w:lang w:val="en-US" w:eastAsia="zh-CN"/>
        </w:rPr>
        <w:t>期</w:t>
      </w:r>
      <w:r>
        <w:rPr>
          <w:rFonts w:hint="eastAsia" w:ascii="宋体" w:hAnsi="宋体" w:eastAsia="宋体" w:cs="宋体"/>
          <w:color w:val="000000"/>
          <w:sz w:val="24"/>
        </w:rPr>
        <w:t>结肠癌患者术前</w:t>
      </w:r>
      <w:r>
        <w:rPr>
          <w:rFonts w:hint="eastAsia" w:ascii="宋体" w:hAnsi="宋体" w:eastAsia="宋体" w:cs="宋体"/>
          <w:color w:val="000000"/>
          <w:sz w:val="24"/>
          <w:lang w:eastAsia="zh-CN"/>
        </w:rPr>
        <w:t>和</w:t>
      </w:r>
      <w:r>
        <w:rPr>
          <w:rFonts w:hint="eastAsia" w:ascii="宋体" w:hAnsi="宋体" w:eastAsia="宋体" w:cs="宋体"/>
          <w:color w:val="000000"/>
          <w:sz w:val="24"/>
        </w:rPr>
        <w:t>术后采用不同辅助化疗方案</w:t>
      </w:r>
      <w:r>
        <w:rPr>
          <w:rFonts w:hint="eastAsia" w:ascii="宋体" w:hAnsi="宋体" w:eastAsia="宋体" w:cs="宋体"/>
          <w:color w:val="000000"/>
          <w:sz w:val="24"/>
          <w:lang w:eastAsia="zh-CN"/>
        </w:rPr>
        <w:t>后</w:t>
      </w:r>
      <w:r>
        <w:rPr>
          <w:rFonts w:hint="eastAsia" w:ascii="宋体" w:hAnsi="宋体" w:eastAsia="宋体" w:cs="宋体"/>
          <w:color w:val="000000"/>
          <w:sz w:val="24"/>
          <w:lang w:val="en-US" w:eastAsia="zh-CN"/>
        </w:rPr>
        <w:t>的</w:t>
      </w:r>
      <w:r>
        <w:rPr>
          <w:rFonts w:hint="eastAsia" w:ascii="宋体" w:hAnsi="宋体" w:eastAsia="宋体" w:cs="宋体"/>
          <w:color w:val="000000"/>
          <w:sz w:val="24"/>
        </w:rPr>
        <w:t>相关血液指标（包括肿瘤标记物、血常规、肝功能、白蛋白等）进行比较分析，评价本研究选用的几种不同的治疗方案用药的安全性和治疗的效果</w:t>
      </w:r>
      <w:r>
        <w:rPr>
          <w:rFonts w:hint="eastAsia"/>
          <w:color w:val="000000"/>
          <w:sz w:val="24"/>
        </w:rPr>
        <w:t>。</w:t>
      </w:r>
    </w:p>
    <w:p>
      <w:pPr>
        <w:spacing w:line="360" w:lineRule="auto"/>
        <w:rPr>
          <w:rFonts w:hint="eastAsia" w:ascii="黑体" w:hAnsi="黑体" w:eastAsia="黑体" w:cs="黑体"/>
          <w:color w:val="000000"/>
          <w:sz w:val="28"/>
          <w:szCs w:val="28"/>
        </w:rPr>
      </w:pPr>
      <w:r>
        <w:rPr>
          <w:rFonts w:hint="eastAsia" w:ascii="黑体" w:hAnsi="黑体" w:eastAsia="黑体" w:cs="黑体"/>
          <w:color w:val="000000"/>
          <w:sz w:val="28"/>
          <w:szCs w:val="28"/>
          <w:lang w:val="en-US" w:eastAsia="zh-CN"/>
        </w:rPr>
        <w:t xml:space="preserve">   </w:t>
      </w:r>
      <w:r>
        <w:rPr>
          <w:rFonts w:hint="eastAsia" w:ascii="黑体" w:hAnsi="黑体" w:eastAsia="黑体" w:cs="黑体"/>
          <w:b w:val="0"/>
          <w:bCs w:val="0"/>
          <w:color w:val="000000"/>
          <w:sz w:val="24"/>
          <w:szCs w:val="24"/>
        </w:rPr>
        <w:t>方法</w:t>
      </w:r>
      <w:r>
        <w:rPr>
          <w:rFonts w:hint="eastAsia" w:ascii="黑体" w:hAnsi="黑体" w:eastAsia="黑体" w:cs="黑体"/>
          <w:color w:val="000000"/>
          <w:sz w:val="24"/>
          <w:szCs w:val="24"/>
        </w:rPr>
        <w:t xml:space="preserve"> </w:t>
      </w:r>
    </w:p>
    <w:p>
      <w:pPr>
        <w:spacing w:line="360" w:lineRule="auto"/>
        <w:jc w:val="left"/>
        <w:rPr>
          <w:rFonts w:hint="eastAsia" w:ascii="宋体" w:hAnsi="宋体" w:eastAsia="宋体" w:cs="宋体"/>
          <w:color w:val="000000"/>
          <w:sz w:val="24"/>
          <w:szCs w:val="24"/>
        </w:rPr>
      </w:pPr>
      <w:r>
        <w:rPr>
          <w:rFonts w:hint="eastAsia" w:ascii="黑体" w:hAnsi="黑体" w:eastAsia="黑体" w:cs="黑体"/>
          <w:color w:val="000000"/>
          <w:sz w:val="28"/>
          <w:szCs w:val="28"/>
          <w:lang w:val="en-US" w:eastAsia="zh-CN"/>
        </w:rPr>
        <w:t xml:space="preserve">  </w:t>
      </w:r>
      <w:r>
        <w:rPr>
          <w:rFonts w:hint="eastAsia" w:ascii="宋体" w:hAnsi="宋体" w:eastAsia="宋体" w:cs="宋体"/>
          <w:color w:val="000000"/>
          <w:sz w:val="24"/>
          <w:szCs w:val="24"/>
          <w:lang w:val="en-US" w:eastAsia="zh-CN"/>
        </w:rPr>
        <w:t xml:space="preserve"> </w:t>
      </w:r>
      <w:r>
        <w:rPr>
          <w:rFonts w:hint="eastAsia"/>
          <w:color w:val="000000"/>
          <w:sz w:val="24"/>
        </w:rPr>
        <w:t>选取新乡市中心医院自201</w:t>
      </w:r>
      <w:r>
        <w:rPr>
          <w:rFonts w:hint="eastAsia"/>
          <w:color w:val="000000"/>
          <w:sz w:val="24"/>
          <w:lang w:val="en-US" w:eastAsia="zh-CN"/>
        </w:rPr>
        <w:t>3</w:t>
      </w:r>
      <w:r>
        <w:rPr>
          <w:rFonts w:hint="eastAsia"/>
          <w:color w:val="000000"/>
          <w:sz w:val="24"/>
        </w:rPr>
        <w:t>年</w:t>
      </w:r>
      <w:r>
        <w:rPr>
          <w:rFonts w:hint="eastAsia"/>
          <w:color w:val="000000"/>
          <w:sz w:val="24"/>
          <w:lang w:val="en-US" w:eastAsia="zh-CN"/>
        </w:rPr>
        <w:t>10</w:t>
      </w:r>
      <w:r>
        <w:rPr>
          <w:rFonts w:hint="eastAsia"/>
          <w:color w:val="000000"/>
          <w:sz w:val="24"/>
        </w:rPr>
        <w:t>月~2015年</w:t>
      </w:r>
      <w:r>
        <w:rPr>
          <w:rFonts w:hint="eastAsia"/>
          <w:color w:val="000000"/>
          <w:sz w:val="24"/>
          <w:lang w:val="en-US" w:eastAsia="zh-CN"/>
        </w:rPr>
        <w:t>3</w:t>
      </w:r>
      <w:r>
        <w:rPr>
          <w:rFonts w:hint="eastAsia"/>
          <w:color w:val="000000"/>
          <w:sz w:val="24"/>
        </w:rPr>
        <w:t>月入院诊治的</w:t>
      </w:r>
      <w:r>
        <w:rPr>
          <w:rFonts w:hint="eastAsia"/>
          <w:color w:val="000000"/>
          <w:sz w:val="24"/>
          <w:lang w:val="en-US" w:eastAsia="zh-CN"/>
        </w:rPr>
        <w:t>92</w:t>
      </w:r>
      <w:r>
        <w:rPr>
          <w:rFonts w:hint="eastAsia"/>
          <w:color w:val="000000"/>
          <w:sz w:val="24"/>
        </w:rPr>
        <w:t>例</w:t>
      </w:r>
      <w:r>
        <w:rPr>
          <w:rFonts w:hint="eastAsia"/>
          <w:color w:val="000000"/>
          <w:sz w:val="24"/>
          <w:lang w:eastAsia="zh-CN"/>
        </w:rPr>
        <w:t>术后病理诊断分期为</w:t>
      </w:r>
      <w:r>
        <w:rPr>
          <w:rStyle w:val="5"/>
          <w:rFonts w:hint="eastAsia" w:ascii="宋体" w:hAnsi="宋体" w:eastAsia="宋体" w:cs="宋体"/>
          <w:b w:val="0"/>
          <w:bCs w:val="0"/>
          <w:i w:val="0"/>
          <w:caps w:val="0"/>
          <w:color w:val="333333"/>
          <w:spacing w:val="0"/>
          <w:sz w:val="24"/>
          <w:szCs w:val="24"/>
          <w:shd w:val="clear" w:color="auto" w:fill="FFFFFF"/>
        </w:rPr>
        <w:t>Ⅲ</w:t>
      </w:r>
      <w:r>
        <w:rPr>
          <w:rFonts w:hint="eastAsia"/>
          <w:color w:val="000000"/>
          <w:sz w:val="24"/>
        </w:rPr>
        <w:t>期结肠癌患者作为本研究的对象,</w:t>
      </w:r>
      <w:r>
        <w:rPr>
          <w:rFonts w:hint="eastAsia"/>
          <w:color w:val="000000"/>
          <w:sz w:val="24"/>
          <w:lang w:eastAsia="zh-CN"/>
        </w:rPr>
        <w:t>根据</w:t>
      </w:r>
      <w:r>
        <w:rPr>
          <w:rFonts w:hint="eastAsia"/>
          <w:color w:val="000000"/>
          <w:sz w:val="24"/>
        </w:rPr>
        <w:t>术后给予不同</w:t>
      </w:r>
      <w:r>
        <w:rPr>
          <w:rFonts w:hint="eastAsia"/>
          <w:color w:val="000000"/>
          <w:sz w:val="24"/>
          <w:lang w:eastAsia="zh-CN"/>
        </w:rPr>
        <w:t>种</w:t>
      </w:r>
      <w:r>
        <w:rPr>
          <w:rFonts w:hint="eastAsia"/>
          <w:color w:val="000000"/>
          <w:sz w:val="24"/>
        </w:rPr>
        <w:t>辅助化疗方案</w:t>
      </w:r>
      <w:r>
        <w:rPr>
          <w:rFonts w:hint="eastAsia"/>
          <w:color w:val="000000"/>
          <w:sz w:val="24"/>
          <w:lang w:eastAsia="zh-CN"/>
        </w:rPr>
        <w:t>分为</w:t>
      </w:r>
      <w:r>
        <w:rPr>
          <w:rFonts w:hint="eastAsia"/>
          <w:color w:val="000000"/>
          <w:sz w:val="24"/>
          <w:lang w:val="en-US" w:eastAsia="zh-CN"/>
        </w:rPr>
        <w:t>A、B、C、D</w:t>
      </w:r>
      <w:r>
        <w:rPr>
          <w:rFonts w:hint="eastAsia"/>
          <w:color w:val="000000"/>
          <w:sz w:val="24"/>
          <w:lang w:eastAsia="zh-CN"/>
        </w:rPr>
        <w:t>四组</w:t>
      </w:r>
      <w:r>
        <w:rPr>
          <w:rFonts w:hint="eastAsia"/>
          <w:color w:val="000000"/>
          <w:sz w:val="24"/>
        </w:rPr>
        <w:t>（A:术中氟尿嘧啶植入剂+FOLFOX方案；B:FOLFOX方案；C:术中氟尿嘧啶植入剂+XELOX方案；D:XELOX方案），对患者的术前</w:t>
      </w:r>
      <w:r>
        <w:rPr>
          <w:rFonts w:hint="eastAsia"/>
          <w:color w:val="000000"/>
          <w:sz w:val="24"/>
          <w:lang w:eastAsia="zh-CN"/>
        </w:rPr>
        <w:t>和</w:t>
      </w:r>
      <w:r>
        <w:rPr>
          <w:rFonts w:hint="eastAsia"/>
          <w:color w:val="000000"/>
          <w:sz w:val="24"/>
        </w:rPr>
        <w:t>术后经过辅助化疗方案</w:t>
      </w:r>
      <w:r>
        <w:rPr>
          <w:rFonts w:hint="eastAsia"/>
          <w:color w:val="000000"/>
          <w:sz w:val="24"/>
          <w:lang w:eastAsia="zh-CN"/>
        </w:rPr>
        <w:t>后</w:t>
      </w:r>
      <w:r>
        <w:rPr>
          <w:rFonts w:hint="eastAsia"/>
          <w:color w:val="000000"/>
          <w:sz w:val="24"/>
        </w:rPr>
        <w:t>的相关血液指标进行比较分析。</w:t>
      </w:r>
      <w:bookmarkStart w:id="0" w:name="_GoBack"/>
      <w:bookmarkEnd w:id="0"/>
    </w:p>
    <w:p>
      <w:pPr>
        <w:spacing w:line="360" w:lineRule="auto"/>
        <w:rPr>
          <w:rFonts w:hint="eastAsia" w:ascii="黑体" w:hAnsi="黑体" w:eastAsia="黑体" w:cs="黑体"/>
          <w:color w:val="000000"/>
          <w:sz w:val="28"/>
          <w:szCs w:val="28"/>
        </w:rPr>
      </w:pPr>
      <w:r>
        <w:rPr>
          <w:rFonts w:hint="eastAsia" w:ascii="黑体" w:hAnsi="黑体" w:eastAsia="黑体" w:cs="黑体"/>
          <w:color w:val="000000"/>
          <w:sz w:val="28"/>
          <w:szCs w:val="28"/>
          <w:lang w:val="en-US" w:eastAsia="zh-CN"/>
        </w:rPr>
        <w:t xml:space="preserve">   </w:t>
      </w:r>
      <w:r>
        <w:rPr>
          <w:rFonts w:hint="eastAsia" w:ascii="黑体" w:hAnsi="黑体" w:eastAsia="黑体" w:cs="黑体"/>
          <w:b w:val="0"/>
          <w:bCs w:val="0"/>
          <w:color w:val="000000"/>
          <w:sz w:val="24"/>
          <w:szCs w:val="24"/>
        </w:rPr>
        <w:t>结果</w:t>
      </w:r>
      <w:r>
        <w:rPr>
          <w:rFonts w:hint="eastAsia" w:ascii="黑体" w:hAnsi="黑体" w:eastAsia="黑体" w:cs="黑体"/>
          <w:color w:val="000000"/>
          <w:sz w:val="28"/>
          <w:szCs w:val="28"/>
        </w:rPr>
        <w:t xml:space="preserve"> </w:t>
      </w:r>
    </w:p>
    <w:p>
      <w:pPr>
        <w:spacing w:line="360" w:lineRule="auto"/>
        <w:jc w:val="left"/>
        <w:rPr>
          <w:rFonts w:hint="eastAsia" w:ascii="宋体" w:hAnsi="宋体" w:eastAsia="宋体" w:cs="宋体"/>
          <w:color w:val="000000"/>
          <w:sz w:val="24"/>
        </w:rPr>
      </w:pP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A、C组在术后第1周期相关血清肿瘤标记物降低幅度与B、D组比较明显降低（</w:t>
      </w:r>
      <w:r>
        <w:rPr>
          <w:rFonts w:hint="eastAsia" w:ascii="宋体" w:hAnsi="宋体" w:eastAsia="宋体" w:cs="宋体"/>
          <w:i/>
          <w:iCs/>
          <w:color w:val="000000"/>
          <w:sz w:val="24"/>
        </w:rPr>
        <w:t>P</w:t>
      </w:r>
      <w:r>
        <w:rPr>
          <w:rFonts w:hint="eastAsia" w:ascii="宋体" w:hAnsi="宋体" w:eastAsia="宋体" w:cs="宋体"/>
          <w:color w:val="000000"/>
          <w:sz w:val="24"/>
        </w:rPr>
        <w:t>&lt;0.05）,化疗</w:t>
      </w:r>
      <w:r>
        <w:rPr>
          <w:rFonts w:hint="eastAsia" w:ascii="宋体" w:hAnsi="宋体" w:eastAsia="宋体" w:cs="宋体"/>
          <w:color w:val="000000"/>
          <w:sz w:val="24"/>
          <w:lang w:eastAsia="zh-CN"/>
        </w:rPr>
        <w:t>疗程结束</w:t>
      </w:r>
      <w:r>
        <w:rPr>
          <w:rFonts w:hint="eastAsia" w:ascii="宋体" w:hAnsi="宋体" w:eastAsia="宋体" w:cs="宋体"/>
          <w:color w:val="000000"/>
          <w:sz w:val="24"/>
        </w:rPr>
        <w:t>后相关肿瘤标记物降低幅度无明显统计学意义（</w:t>
      </w:r>
      <w:r>
        <w:rPr>
          <w:rFonts w:hint="eastAsia" w:ascii="宋体" w:hAnsi="宋体" w:eastAsia="宋体" w:cs="宋体"/>
          <w:i/>
          <w:iCs/>
          <w:color w:val="000000"/>
          <w:sz w:val="24"/>
        </w:rPr>
        <w:t>P</w:t>
      </w:r>
      <w:r>
        <w:rPr>
          <w:rFonts w:hint="eastAsia" w:ascii="宋体" w:hAnsi="宋体" w:eastAsia="宋体" w:cs="宋体"/>
          <w:color w:val="000000"/>
          <w:sz w:val="24"/>
        </w:rPr>
        <w:t>&gt;0.05）；化疗</w:t>
      </w:r>
      <w:r>
        <w:rPr>
          <w:rFonts w:hint="eastAsia" w:ascii="宋体" w:hAnsi="宋体" w:eastAsia="宋体" w:cs="宋体"/>
          <w:color w:val="000000"/>
          <w:sz w:val="24"/>
          <w:lang w:eastAsia="zh-CN"/>
        </w:rPr>
        <w:t>过程中</w:t>
      </w:r>
      <w:r>
        <w:rPr>
          <w:rFonts w:hint="eastAsia" w:ascii="宋体" w:hAnsi="宋体" w:eastAsia="宋体" w:cs="宋体"/>
          <w:color w:val="000000"/>
          <w:sz w:val="24"/>
        </w:rPr>
        <w:t>白细胞的比较中，A组白细胞低于正常值的发生率明显高于B组和D组（</w:t>
      </w:r>
      <w:r>
        <w:rPr>
          <w:rFonts w:hint="eastAsia" w:ascii="宋体" w:hAnsi="宋体" w:eastAsia="宋体" w:cs="宋体"/>
          <w:i/>
          <w:iCs/>
          <w:color w:val="000000"/>
          <w:sz w:val="24"/>
        </w:rPr>
        <w:t>P</w:t>
      </w:r>
      <w:r>
        <w:rPr>
          <w:rFonts w:hint="eastAsia" w:ascii="宋体" w:hAnsi="宋体" w:eastAsia="宋体" w:cs="宋体"/>
          <w:color w:val="000000"/>
          <w:sz w:val="24"/>
        </w:rPr>
        <w:t>&lt;0.05），C组白细胞低于正常值的发生率明显高于B、D组（</w:t>
      </w:r>
      <w:r>
        <w:rPr>
          <w:rFonts w:hint="eastAsia" w:ascii="宋体" w:hAnsi="宋体" w:eastAsia="宋体" w:cs="宋体"/>
          <w:i/>
          <w:iCs/>
          <w:color w:val="000000"/>
          <w:sz w:val="24"/>
        </w:rPr>
        <w:t>P</w:t>
      </w:r>
      <w:r>
        <w:rPr>
          <w:rFonts w:hint="eastAsia" w:ascii="宋体" w:hAnsi="宋体" w:eastAsia="宋体" w:cs="宋体"/>
          <w:color w:val="000000"/>
          <w:sz w:val="24"/>
        </w:rPr>
        <w:t>&lt;0.05），B组高于D组（</w:t>
      </w:r>
      <w:r>
        <w:rPr>
          <w:rFonts w:hint="eastAsia" w:ascii="宋体" w:hAnsi="宋体" w:eastAsia="宋体" w:cs="宋体"/>
          <w:i/>
          <w:iCs/>
          <w:color w:val="000000"/>
          <w:sz w:val="24"/>
        </w:rPr>
        <w:t>P</w:t>
      </w:r>
      <w:r>
        <w:rPr>
          <w:rFonts w:hint="eastAsia" w:ascii="宋体" w:hAnsi="宋体" w:eastAsia="宋体" w:cs="宋体"/>
          <w:color w:val="000000"/>
          <w:sz w:val="24"/>
        </w:rPr>
        <w:t>&lt;0.05），其余组间比较均无统计学意义（</w:t>
      </w:r>
      <w:r>
        <w:rPr>
          <w:rFonts w:hint="eastAsia" w:ascii="宋体" w:hAnsi="宋体" w:eastAsia="宋体" w:cs="宋体"/>
          <w:i/>
          <w:iCs/>
          <w:color w:val="000000"/>
          <w:sz w:val="24"/>
        </w:rPr>
        <w:t>P</w:t>
      </w:r>
      <w:r>
        <w:rPr>
          <w:rFonts w:hint="eastAsia" w:ascii="宋体" w:hAnsi="宋体" w:eastAsia="宋体" w:cs="宋体"/>
          <w:color w:val="000000"/>
          <w:sz w:val="24"/>
        </w:rPr>
        <w:t>&gt;0.05）；各组间贫血的发生率D组比其他各组均低（</w:t>
      </w:r>
      <w:r>
        <w:rPr>
          <w:rFonts w:hint="eastAsia" w:ascii="宋体" w:hAnsi="宋体" w:eastAsia="宋体" w:cs="宋体"/>
          <w:i/>
          <w:iCs/>
          <w:color w:val="000000"/>
          <w:sz w:val="24"/>
        </w:rPr>
        <w:t>P</w:t>
      </w:r>
      <w:r>
        <w:rPr>
          <w:rFonts w:hint="eastAsia" w:ascii="宋体" w:hAnsi="宋体" w:eastAsia="宋体" w:cs="宋体"/>
          <w:color w:val="000000"/>
          <w:sz w:val="24"/>
        </w:rPr>
        <w:t>&lt;0.05），其余各组间比较无统计学意义（</w:t>
      </w:r>
      <w:r>
        <w:rPr>
          <w:rFonts w:hint="eastAsia" w:ascii="宋体" w:hAnsi="宋体" w:eastAsia="宋体" w:cs="宋体"/>
          <w:i/>
          <w:iCs/>
          <w:color w:val="000000"/>
          <w:sz w:val="24"/>
        </w:rPr>
        <w:t>P</w:t>
      </w:r>
      <w:r>
        <w:rPr>
          <w:rFonts w:hint="eastAsia" w:ascii="宋体" w:hAnsi="宋体" w:eastAsia="宋体" w:cs="宋体"/>
          <w:color w:val="000000"/>
          <w:sz w:val="24"/>
        </w:rPr>
        <w:t>&gt;0.05）；各组间对血小板及白蛋白的影响均无明显差异（</w:t>
      </w:r>
      <w:r>
        <w:rPr>
          <w:rFonts w:hint="eastAsia" w:ascii="宋体" w:hAnsi="宋体" w:eastAsia="宋体" w:cs="宋体"/>
          <w:i/>
          <w:iCs/>
          <w:color w:val="000000"/>
          <w:sz w:val="24"/>
        </w:rPr>
        <w:t>P</w:t>
      </w:r>
      <w:r>
        <w:rPr>
          <w:rFonts w:hint="eastAsia" w:ascii="宋体" w:hAnsi="宋体" w:eastAsia="宋体" w:cs="宋体"/>
          <w:color w:val="000000"/>
          <w:sz w:val="24"/>
        </w:rPr>
        <w:t>&gt;0.05）；对谷丙转氨酶的影响中，A组和B组比C组和D组发生谷丙转氨酶升高的发生率均高（</w:t>
      </w:r>
      <w:r>
        <w:rPr>
          <w:rFonts w:hint="eastAsia" w:ascii="宋体" w:hAnsi="宋体" w:eastAsia="宋体" w:cs="宋体"/>
          <w:i/>
          <w:iCs/>
          <w:color w:val="000000"/>
          <w:sz w:val="24"/>
        </w:rPr>
        <w:t>P</w:t>
      </w:r>
      <w:r>
        <w:rPr>
          <w:rFonts w:hint="eastAsia" w:ascii="宋体" w:hAnsi="宋体" w:eastAsia="宋体" w:cs="宋体"/>
          <w:color w:val="000000"/>
          <w:sz w:val="24"/>
        </w:rPr>
        <w:t>&lt;0.05）,其余各组间比较无明显差异（</w:t>
      </w:r>
      <w:r>
        <w:rPr>
          <w:rFonts w:hint="eastAsia" w:ascii="宋体" w:hAnsi="宋体" w:eastAsia="宋体" w:cs="宋体"/>
          <w:i/>
          <w:iCs/>
          <w:color w:val="000000"/>
          <w:sz w:val="24"/>
        </w:rPr>
        <w:t>P</w:t>
      </w:r>
      <w:r>
        <w:rPr>
          <w:rFonts w:hint="eastAsia" w:ascii="宋体" w:hAnsi="宋体" w:eastAsia="宋体" w:cs="宋体"/>
          <w:color w:val="000000"/>
          <w:sz w:val="24"/>
        </w:rPr>
        <w:t>&gt;0.05）。</w:t>
      </w:r>
    </w:p>
    <w:p>
      <w:pPr>
        <w:spacing w:line="360" w:lineRule="auto"/>
        <w:rPr>
          <w:rFonts w:hint="eastAsia" w:ascii="黑体" w:hAnsi="黑体" w:eastAsia="黑体" w:cs="黑体"/>
          <w:color w:val="000000"/>
          <w:sz w:val="28"/>
          <w:szCs w:val="28"/>
        </w:rPr>
      </w:pPr>
      <w:r>
        <w:rPr>
          <w:rFonts w:hint="eastAsia" w:ascii="黑体" w:hAnsi="黑体" w:eastAsia="黑体" w:cs="黑体"/>
          <w:color w:val="000000"/>
          <w:sz w:val="28"/>
          <w:szCs w:val="28"/>
          <w:lang w:val="en-US" w:eastAsia="zh-CN"/>
        </w:rPr>
        <w:t xml:space="preserve">   </w:t>
      </w:r>
      <w:r>
        <w:rPr>
          <w:rFonts w:hint="eastAsia" w:ascii="黑体" w:hAnsi="黑体" w:eastAsia="黑体" w:cs="黑体"/>
          <w:b w:val="0"/>
          <w:bCs w:val="0"/>
          <w:color w:val="000000"/>
          <w:sz w:val="24"/>
          <w:szCs w:val="24"/>
        </w:rPr>
        <w:t>结论</w:t>
      </w:r>
    </w:p>
    <w:p>
      <w:pPr>
        <w:spacing w:line="360" w:lineRule="auto"/>
        <w:jc w:val="left"/>
        <w:rPr>
          <w:rFonts w:hint="eastAsia" w:ascii="宋体" w:hAnsi="宋体" w:eastAsia="宋体" w:cs="宋体"/>
          <w:color w:val="000000"/>
          <w:sz w:val="24"/>
        </w:rPr>
      </w:pPr>
      <w:r>
        <w:rPr>
          <w:rFonts w:hint="eastAsia" w:ascii="黑体" w:hAnsi="黑体" w:eastAsia="黑体" w:cs="黑体"/>
          <w:color w:val="000000"/>
          <w:sz w:val="28"/>
          <w:szCs w:val="28"/>
        </w:rPr>
        <w:t xml:space="preserve"> </w:t>
      </w:r>
      <w:r>
        <w:rPr>
          <w:rFonts w:hint="eastAsia" w:ascii="黑体" w:hAnsi="黑体" w:eastAsia="黑体" w:cs="黑体"/>
          <w:color w:val="000000"/>
          <w:sz w:val="28"/>
          <w:szCs w:val="28"/>
          <w:lang w:val="en-US" w:eastAsia="zh-CN"/>
        </w:rPr>
        <w:t xml:space="preserve">  </w:t>
      </w:r>
      <w:r>
        <w:rPr>
          <w:rFonts w:hint="eastAsia" w:ascii="宋体" w:hAnsi="宋体" w:eastAsia="宋体" w:cs="宋体"/>
          <w:color w:val="000000"/>
          <w:sz w:val="24"/>
        </w:rPr>
        <w:t>术中植入氟尿嘧啶缓释剂对术后早期肿瘤标记物的降低有明显作用，能起到早期化疗效果,且其除对白细胞影响较大外，对其他血液指标的影响与其他各组比较无明显差异，应用安全性较高。各项化疗方案</w:t>
      </w:r>
      <w:r>
        <w:rPr>
          <w:rFonts w:hint="eastAsia" w:ascii="宋体" w:hAnsi="宋体" w:eastAsia="宋体" w:cs="宋体"/>
          <w:color w:val="000000"/>
          <w:sz w:val="24"/>
          <w:lang w:eastAsia="zh-CN"/>
        </w:rPr>
        <w:t>化疗结束</w:t>
      </w:r>
      <w:r>
        <w:rPr>
          <w:rFonts w:hint="eastAsia" w:ascii="宋体" w:hAnsi="宋体" w:eastAsia="宋体" w:cs="宋体"/>
          <w:color w:val="000000"/>
          <w:sz w:val="24"/>
        </w:rPr>
        <w:t>后均有明显降低肿瘤标记物的作用；术中植入氟尿嘧啶缓释剂对降低化疗患者白细胞比未植入者明显，对患者</w:t>
      </w:r>
      <w:r>
        <w:rPr>
          <w:rFonts w:hint="eastAsia" w:ascii="宋体" w:hAnsi="宋体" w:eastAsia="宋体" w:cs="宋体"/>
          <w:color w:val="000000"/>
          <w:sz w:val="24"/>
          <w:lang w:eastAsia="zh-CN"/>
        </w:rPr>
        <w:t>血红蛋白</w:t>
      </w:r>
      <w:r>
        <w:rPr>
          <w:rFonts w:hint="eastAsia" w:ascii="宋体" w:hAnsi="宋体" w:eastAsia="宋体" w:cs="宋体"/>
          <w:color w:val="000000"/>
          <w:sz w:val="24"/>
        </w:rPr>
        <w:t>可能有一定影响，FOLFOX化疗方案比XELOX化疗方案发生白细胞和血红蛋白降低及肝功能损伤的发生率高；四种</w:t>
      </w:r>
      <w:r>
        <w:rPr>
          <w:rFonts w:hint="eastAsia" w:ascii="宋体" w:hAnsi="宋体" w:eastAsia="宋体" w:cs="宋体"/>
          <w:color w:val="000000"/>
          <w:sz w:val="24"/>
          <w:lang w:eastAsia="zh-CN"/>
        </w:rPr>
        <w:t>方案</w:t>
      </w:r>
      <w:r>
        <w:rPr>
          <w:rFonts w:hint="eastAsia" w:ascii="宋体" w:hAnsi="宋体" w:eastAsia="宋体" w:cs="宋体"/>
          <w:color w:val="000000"/>
          <w:sz w:val="24"/>
        </w:rPr>
        <w:t>对白蛋白和血小板的影响无</w:t>
      </w:r>
      <w:r>
        <w:rPr>
          <w:rFonts w:hint="eastAsia" w:ascii="宋体" w:hAnsi="宋体" w:eastAsia="宋体" w:cs="宋体"/>
          <w:color w:val="000000"/>
          <w:sz w:val="24"/>
          <w:lang w:eastAsia="zh-CN"/>
        </w:rPr>
        <w:t>差异</w:t>
      </w:r>
      <w:r>
        <w:rPr>
          <w:rFonts w:hint="eastAsia" w:ascii="宋体" w:hAnsi="宋体" w:eastAsia="宋体" w:cs="宋体"/>
          <w:color w:val="000000"/>
          <w:sz w:val="24"/>
        </w:rPr>
        <w:t>。</w:t>
      </w:r>
    </w:p>
    <w:p>
      <w:pPr>
        <w:spacing w:line="360" w:lineRule="auto"/>
        <w:rPr>
          <w:rFonts w:hint="eastAsia" w:ascii="宋体" w:hAnsi="宋体" w:eastAsia="宋体" w:cs="宋体"/>
        </w:rPr>
      </w:pPr>
      <w:r>
        <w:rPr>
          <w:rFonts w:hint="eastAsia" w:ascii="宋体" w:hAnsi="宋体" w:cs="宋体"/>
          <w:color w:val="000000"/>
          <w:sz w:val="24"/>
          <w:lang w:val="en-US" w:eastAsia="zh-CN"/>
        </w:rPr>
        <w:t xml:space="preserve">   </w:t>
      </w:r>
      <w:r>
        <w:rPr>
          <w:rFonts w:hint="eastAsia" w:ascii="黑体" w:hAnsi="黑体" w:eastAsia="黑体" w:cs="黑体"/>
          <w:b w:val="0"/>
          <w:bCs w:val="0"/>
          <w:color w:val="000000"/>
          <w:sz w:val="24"/>
        </w:rPr>
        <w:t>关键词</w:t>
      </w:r>
      <w:r>
        <w:rPr>
          <w:rFonts w:hint="eastAsia" w:ascii="黑体" w:hAnsi="黑体" w:eastAsia="黑体" w:cs="黑体"/>
          <w:b/>
          <w:bCs/>
          <w:color w:val="000000"/>
          <w:sz w:val="24"/>
        </w:rPr>
        <w:t xml:space="preserve"> </w:t>
      </w:r>
      <w:r>
        <w:rPr>
          <w:rFonts w:hint="eastAsia" w:ascii="宋体" w:hAnsi="宋体" w:eastAsia="宋体" w:cs="宋体"/>
          <w:color w:val="000000"/>
          <w:sz w:val="24"/>
        </w:rPr>
        <w:t>结肠癌;辅助化疗;肿瘤标记物</w:t>
      </w:r>
    </w:p>
    <w:sectPr>
      <w:pgSz w:w="11906" w:h="16838"/>
      <w:pgMar w:top="1984" w:right="1417" w:bottom="198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w:altName w:val="Courier New"/>
    <w:panose1 w:val="02070409020205020404"/>
    <w:charset w:val="00"/>
    <w:family w:val="modern"/>
    <w:pitch w:val="default"/>
    <w:sig w:usb0="00000000" w:usb1="00000000" w:usb2="00000000" w:usb3="00000000" w:csb0="00000001" w:csb1="00000000"/>
  </w:font>
  <w:font w:name="Arial Unicode MS">
    <w:altName w:val="宋体"/>
    <w:panose1 w:val="020B0604020202020204"/>
    <w:charset w:val="86"/>
    <w:family w:val="roman"/>
    <w:pitch w:val="default"/>
    <w:sig w:usb0="00000000" w:usb1="00000000" w:usb2="0000003F" w:usb3="00000000" w:csb0="603F01FF" w:csb1="FFFF0000"/>
  </w:font>
  <w:font w:name="_x000B__x000C_">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黑体">
    <w:panose1 w:val="02010609060101010101"/>
    <w:charset w:val="86"/>
    <w:family w:val="modern"/>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 w:name="黑体">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9DA"/>
    <w:rsid w:val="006056A5"/>
    <w:rsid w:val="00A252E0"/>
    <w:rsid w:val="00AC49DA"/>
    <w:rsid w:val="00B07693"/>
    <w:rsid w:val="00D37050"/>
    <w:rsid w:val="0A3F14DC"/>
    <w:rsid w:val="0FB158EC"/>
    <w:rsid w:val="1B2A5AC5"/>
    <w:rsid w:val="202618A5"/>
    <w:rsid w:val="21BF792B"/>
    <w:rsid w:val="27371163"/>
    <w:rsid w:val="3812048F"/>
    <w:rsid w:val="3A6109B5"/>
    <w:rsid w:val="3D4E7E82"/>
    <w:rsid w:val="40720A87"/>
    <w:rsid w:val="4FEB2EE7"/>
    <w:rsid w:val="552C5F3D"/>
    <w:rsid w:val="556F5F93"/>
    <w:rsid w:val="5AA8638B"/>
    <w:rsid w:val="5D98272C"/>
    <w:rsid w:val="64551CE8"/>
    <w:rsid w:val="683367C0"/>
    <w:rsid w:val="6F7B60F1"/>
    <w:rsid w:val="7BA6061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qFormat/>
    <w:uiPriority w:val="22"/>
    <w:rPr>
      <w:b/>
      <w:bCs/>
    </w:rPr>
  </w:style>
  <w:style w:type="character" w:styleId="6">
    <w:name w:val="Hyperlink"/>
    <w:basedOn w:val="4"/>
    <w:unhideWhenUsed/>
    <w:qFormat/>
    <w:uiPriority w:val="99"/>
    <w:rPr>
      <w:rFonts w:hint="default" w:ascii="Verdana" w:hAnsi="Verdana"/>
      <w:color w:val="0000FF"/>
      <w:sz w:val="18"/>
      <w:szCs w:val="18"/>
      <w:u w:val="non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 w:type="paragraph" w:customStyle="1" w:styleId="10">
    <w:name w:val="_Style 28"/>
    <w:basedOn w:val="1"/>
    <w:next w:val="1"/>
    <w:qFormat/>
    <w:uiPriority w:val="0"/>
    <w:pPr>
      <w:pBdr>
        <w:bottom w:val="single" w:color="auto" w:sz="6" w:space="1"/>
      </w:pBdr>
      <w:jc w:val="center"/>
    </w:pPr>
    <w:rPr>
      <w:rFonts w:ascii="Arial" w:hAnsi="Calibri" w:eastAsia="宋体" w:cs="Times New Roman"/>
      <w:vanish/>
      <w:sz w:val="16"/>
    </w:rPr>
  </w:style>
  <w:style w:type="paragraph" w:customStyle="1" w:styleId="11">
    <w:name w:val="_Style 29"/>
    <w:basedOn w:val="1"/>
    <w:next w:val="1"/>
    <w:qFormat/>
    <w:uiPriority w:val="0"/>
    <w:pPr>
      <w:pBdr>
        <w:top w:val="single" w:color="auto" w:sz="6" w:space="1"/>
      </w:pBdr>
      <w:jc w:val="center"/>
    </w:pPr>
    <w:rPr>
      <w:rFonts w:ascii="Arial" w:hAnsi="Calibri" w:eastAsia="宋体" w:cs="Times New Roman"/>
      <w:vanish/>
      <w:sz w:val="16"/>
    </w:rPr>
  </w:style>
  <w:style w:type="character" w:customStyle="1" w:styleId="12">
    <w:name w:val="hps"/>
    <w:basedOn w:val="4"/>
    <w:qFormat/>
    <w:uiPriority w:val="0"/>
  </w:style>
  <w:style w:type="paragraph" w:customStyle="1" w:styleId="1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1182</Words>
  <Characters>6744</Characters>
  <Lines>56</Lines>
  <Paragraphs>15</Paragraphs>
  <ScaleCrop>false</ScaleCrop>
  <LinksUpToDate>false</LinksUpToDate>
  <CharactersWithSpaces>7911</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2016-05-06T00:58:00Z</dcterms:created>
  <dc:creator>lenovo</dc:creator>
  <cp:lastModifiedBy>Administrator</cp:lastModifiedBy>
  <dcterms:modified xsi:type="dcterms:W3CDTF">2016-05-12T13:11:53Z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