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400" w:lineRule="exact"/>
        <w:jc w:val="center"/>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降阶梯疗法治疗新生儿重症感染性肺炎的临床研究</w:t>
      </w:r>
    </w:p>
    <w:p>
      <w:pPr>
        <w:pStyle w:val="10"/>
        <w:spacing w:line="400" w:lineRule="exact"/>
        <w:jc w:val="center"/>
        <w:rPr>
          <w:rFonts w:hint="eastAsia" w:ascii="宋体" w:hAnsi="宋体"/>
          <w:bCs/>
          <w:sz w:val="24"/>
          <w:szCs w:val="24"/>
        </w:rPr>
      </w:pPr>
      <w:r>
        <w:rPr>
          <w:rFonts w:hint="eastAsia" w:ascii="宋体" w:hAnsi="宋体"/>
          <w:bCs/>
          <w:sz w:val="24"/>
          <w:szCs w:val="24"/>
        </w:rPr>
        <w:t>研 究 生：</w:t>
      </w:r>
      <w:r>
        <w:rPr>
          <w:rFonts w:hint="eastAsia" w:ascii="宋体" w:hAnsi="宋体"/>
          <w:bCs/>
          <w:sz w:val="24"/>
          <w:szCs w:val="24"/>
          <w:lang w:eastAsia="zh-CN"/>
        </w:rPr>
        <w:t>陈瑞芳</w:t>
      </w:r>
      <w:r>
        <w:rPr>
          <w:rFonts w:hint="eastAsia" w:ascii="宋体" w:hAnsi="宋体"/>
          <w:bCs/>
          <w:sz w:val="24"/>
          <w:szCs w:val="24"/>
        </w:rPr>
        <w:t xml:space="preserve">           </w:t>
      </w:r>
    </w:p>
    <w:p>
      <w:pPr>
        <w:pStyle w:val="10"/>
        <w:spacing w:line="400" w:lineRule="exact"/>
        <w:jc w:val="center"/>
        <w:rPr>
          <w:rFonts w:ascii="宋体" w:hAnsi="宋体"/>
          <w:b/>
          <w:color w:val="000000"/>
          <w:sz w:val="32"/>
          <w:szCs w:val="32"/>
        </w:rPr>
      </w:pPr>
      <w:r>
        <w:rPr>
          <w:rFonts w:hint="eastAsia" w:ascii="宋体" w:hAnsi="宋体"/>
          <w:bCs/>
          <w:sz w:val="24"/>
          <w:szCs w:val="24"/>
        </w:rPr>
        <w:t>指导教师：</w:t>
      </w:r>
      <w:r>
        <w:rPr>
          <w:rFonts w:hint="eastAsia" w:ascii="宋体" w:hAnsi="宋体"/>
          <w:bCs/>
          <w:sz w:val="24"/>
          <w:szCs w:val="24"/>
          <w:lang w:eastAsia="zh-CN"/>
        </w:rPr>
        <w:t>王爱华</w:t>
      </w:r>
    </w:p>
    <w:p>
      <w:pPr>
        <w:spacing w:line="360" w:lineRule="auto"/>
        <w:jc w:val="center"/>
        <w:rPr>
          <w:rFonts w:hint="eastAsia" w:ascii="宋体" w:hAnsi="宋体"/>
          <w:b w:val="0"/>
          <w:bCs/>
          <w:color w:val="000000"/>
          <w:sz w:val="30"/>
          <w:szCs w:val="30"/>
        </w:rPr>
      </w:pPr>
      <w:r>
        <w:rPr>
          <w:rFonts w:hint="eastAsia" w:ascii="宋体" w:hAnsi="宋体"/>
          <w:b w:val="0"/>
          <w:bCs/>
          <w:color w:val="000000"/>
          <w:sz w:val="30"/>
          <w:szCs w:val="30"/>
        </w:rPr>
        <w:t>摘   要</w:t>
      </w:r>
    </w:p>
    <w:p>
      <w:pPr>
        <w:autoSpaceDE w:val="0"/>
        <w:autoSpaceDN w:val="0"/>
        <w:adjustRightInd w:val="0"/>
        <w:spacing w:line="360" w:lineRule="auto"/>
        <w:jc w:val="left"/>
        <w:rPr>
          <w:rFonts w:hint="eastAsia" w:ascii="宋体" w:hAnsi="宋体"/>
          <w:color w:val="000000"/>
          <w:sz w:val="24"/>
          <w:szCs w:val="24"/>
        </w:rPr>
      </w:pPr>
      <w:r>
        <w:rPr>
          <w:rFonts w:hint="eastAsia" w:ascii="宋体" w:hAnsi="宋体"/>
          <w:b/>
          <w:color w:val="000000"/>
          <w:sz w:val="28"/>
          <w:szCs w:val="28"/>
          <w:lang w:val="en-US" w:eastAsia="zh-CN"/>
        </w:rPr>
        <w:t xml:space="preserve">   </w:t>
      </w:r>
      <w:r>
        <w:rPr>
          <w:rFonts w:hint="eastAsia" w:ascii="黑体" w:hAnsi="黑体" w:eastAsia="黑体" w:cs="黑体"/>
          <w:b w:val="0"/>
          <w:bCs/>
          <w:color w:val="000000"/>
          <w:sz w:val="28"/>
          <w:szCs w:val="28"/>
        </w:rPr>
        <w:t>背景</w:t>
      </w:r>
      <w:r>
        <w:rPr>
          <w:rFonts w:hint="eastAsia" w:ascii="黑体" w:hAnsi="黑体" w:eastAsia="黑体" w:cs="黑体"/>
          <w:b w:val="0"/>
          <w:bCs/>
          <w:color w:val="000000"/>
          <w:sz w:val="24"/>
          <w:szCs w:val="24"/>
        </w:rPr>
        <w:t xml:space="preserve"> </w:t>
      </w:r>
    </w:p>
    <w:p>
      <w:pPr>
        <w:autoSpaceDE w:val="0"/>
        <w:autoSpaceDN w:val="0"/>
        <w:adjustRightInd w:val="0"/>
        <w:spacing w:line="360" w:lineRule="auto"/>
        <w:ind w:firstLine="480"/>
        <w:jc w:val="left"/>
        <w:rPr>
          <w:rFonts w:hint="eastAsia" w:ascii="宋体" w:hAnsi="宋体"/>
          <w:color w:val="000000"/>
          <w:sz w:val="24"/>
          <w:szCs w:val="24"/>
        </w:rPr>
      </w:pPr>
      <w:r>
        <w:rPr>
          <w:rFonts w:hint="eastAsia" w:ascii="宋体" w:hAnsi="宋体"/>
          <w:color w:val="000000"/>
          <w:sz w:val="24"/>
          <w:szCs w:val="24"/>
        </w:rPr>
        <w:t>新生儿因免疫功能不健全,呼吸器官和功能发育不成熟，屏障功能差,容易发生肺部重症感染,尤其是早产儿和使用气管插管机械通气的新生儿,肺部细菌感染的机会更多,多是院内感染,而且感染的致病菌株多为耐药菌株。由于其病情重，变化快，因此合理、有效地使用抗生素成为新生儿重症感染救治成功的关键。合理使用抗生素对预防因抗生素滥用导致多重感染的窘境是很重要的，尤其是面对新生儿重症感染。抗生素降阶梯疗法被提倡为抗生素合理使用的治疗方法之一。</w:t>
      </w:r>
    </w:p>
    <w:p>
      <w:pPr>
        <w:autoSpaceDE w:val="0"/>
        <w:autoSpaceDN w:val="0"/>
        <w:adjustRightInd w:val="0"/>
        <w:spacing w:line="360" w:lineRule="auto"/>
        <w:ind w:firstLine="480"/>
        <w:jc w:val="left"/>
        <w:rPr>
          <w:rFonts w:hint="eastAsia" w:ascii="黑体" w:hAnsi="黑体" w:eastAsia="黑体" w:cs="黑体"/>
          <w:b w:val="0"/>
          <w:bCs/>
          <w:color w:val="000000"/>
          <w:sz w:val="28"/>
          <w:szCs w:val="28"/>
        </w:rPr>
      </w:pPr>
      <w:r>
        <w:rPr>
          <w:rFonts w:hint="eastAsia" w:ascii="黑体" w:hAnsi="黑体" w:eastAsia="黑体" w:cs="黑体"/>
          <w:b w:val="0"/>
          <w:bCs/>
          <w:color w:val="000000"/>
          <w:sz w:val="28"/>
          <w:szCs w:val="28"/>
        </w:rPr>
        <w:t>目的</w:t>
      </w:r>
    </w:p>
    <w:p>
      <w:pPr>
        <w:autoSpaceDE w:val="0"/>
        <w:autoSpaceDN w:val="0"/>
        <w:adjustRightInd w:val="0"/>
        <w:spacing w:line="360" w:lineRule="auto"/>
        <w:ind w:firstLine="500"/>
        <w:jc w:val="left"/>
        <w:rPr>
          <w:rFonts w:hint="eastAsia" w:ascii="宋体" w:hAnsi="宋体"/>
          <w:color w:val="000000"/>
          <w:sz w:val="24"/>
          <w:szCs w:val="24"/>
        </w:rPr>
      </w:pPr>
      <w:r>
        <w:rPr>
          <w:rFonts w:hint="eastAsia" w:ascii="宋体" w:hAnsi="宋体"/>
          <w:color w:val="000000"/>
          <w:sz w:val="24"/>
          <w:szCs w:val="24"/>
        </w:rPr>
        <w:t>本文通过回顾性分析，进一步探讨在治疗新生儿重症感染性肺炎时使用抗生素降阶梯治疗策略的临床疗效以及安全性, 为快速有效控制感染症状、为提高新生儿重症感染性肺炎的治愈率以及降低病死率提供临床依据，从而为防止抗生素的滥用而避免细菌耐药探索新的治疗方法。</w:t>
      </w:r>
    </w:p>
    <w:p>
      <w:pPr>
        <w:autoSpaceDE w:val="0"/>
        <w:autoSpaceDN w:val="0"/>
        <w:adjustRightInd w:val="0"/>
        <w:spacing w:line="360" w:lineRule="auto"/>
        <w:ind w:firstLine="500"/>
        <w:jc w:val="left"/>
        <w:rPr>
          <w:rFonts w:hint="eastAsia" w:ascii="宋体" w:hAnsi="宋体"/>
          <w:color w:val="000000"/>
          <w:sz w:val="24"/>
          <w:szCs w:val="24"/>
        </w:rPr>
      </w:pPr>
      <w:r>
        <w:rPr>
          <w:rFonts w:hint="eastAsia" w:ascii="黑体" w:hAnsi="黑体" w:eastAsia="黑体" w:cs="黑体"/>
          <w:b w:val="0"/>
          <w:bCs/>
          <w:color w:val="000000"/>
          <w:sz w:val="28"/>
          <w:szCs w:val="28"/>
        </w:rPr>
        <w:t xml:space="preserve">方法 </w:t>
      </w:r>
      <w:r>
        <w:rPr>
          <w:rFonts w:hint="eastAsia" w:ascii="宋体" w:hAnsi="宋体"/>
          <w:color w:val="000000"/>
          <w:sz w:val="24"/>
          <w:szCs w:val="24"/>
        </w:rPr>
        <w:t xml:space="preserve"> </w:t>
      </w:r>
    </w:p>
    <w:p>
      <w:pPr>
        <w:autoSpaceDE w:val="0"/>
        <w:autoSpaceDN w:val="0"/>
        <w:adjustRightInd w:val="0"/>
        <w:spacing w:line="360" w:lineRule="auto"/>
        <w:ind w:firstLine="500"/>
        <w:jc w:val="left"/>
        <w:rPr>
          <w:rFonts w:hint="eastAsia" w:ascii="宋体" w:hAnsi="宋体"/>
          <w:color w:val="000000"/>
          <w:sz w:val="24"/>
          <w:szCs w:val="24"/>
        </w:rPr>
      </w:pPr>
      <w:r>
        <w:rPr>
          <w:rFonts w:hint="eastAsia" w:ascii="宋体" w:hAnsi="宋体"/>
          <w:color w:val="000000"/>
          <w:sz w:val="24"/>
          <w:szCs w:val="24"/>
        </w:rPr>
        <w:t>筛选自</w:t>
      </w:r>
      <w:r>
        <w:rPr>
          <w:rFonts w:ascii="Times New Roman" w:hAnsi="Times New Roman"/>
          <w:color w:val="000000"/>
          <w:sz w:val="24"/>
          <w:szCs w:val="24"/>
        </w:rPr>
        <w:t>2013</w:t>
      </w:r>
      <w:r>
        <w:rPr>
          <w:rFonts w:hint="eastAsia" w:ascii="宋体" w:hAnsi="宋体"/>
          <w:color w:val="000000"/>
          <w:sz w:val="24"/>
          <w:szCs w:val="24"/>
        </w:rPr>
        <w:t>年</w:t>
      </w:r>
      <w:r>
        <w:rPr>
          <w:rFonts w:ascii="Times New Roman" w:hAnsi="Times New Roman"/>
          <w:color w:val="000000"/>
          <w:sz w:val="24"/>
          <w:szCs w:val="24"/>
        </w:rPr>
        <w:t>1</w:t>
      </w:r>
      <w:r>
        <w:rPr>
          <w:rFonts w:hint="eastAsia" w:ascii="宋体" w:hAnsi="宋体"/>
          <w:color w:val="000000"/>
          <w:sz w:val="24"/>
          <w:szCs w:val="24"/>
        </w:rPr>
        <w:t>月至</w:t>
      </w:r>
      <w:r>
        <w:rPr>
          <w:rFonts w:ascii="Times New Roman" w:hAnsi="Times New Roman"/>
          <w:color w:val="000000"/>
          <w:sz w:val="24"/>
          <w:szCs w:val="24"/>
        </w:rPr>
        <w:t>2015</w:t>
      </w:r>
      <w:r>
        <w:rPr>
          <w:rFonts w:hint="eastAsia" w:ascii="宋体" w:hAnsi="宋体"/>
          <w:color w:val="000000"/>
          <w:sz w:val="24"/>
          <w:szCs w:val="24"/>
        </w:rPr>
        <w:t>年</w:t>
      </w:r>
      <w:r>
        <w:rPr>
          <w:rFonts w:ascii="Times New Roman" w:hAnsi="Times New Roman"/>
          <w:color w:val="000000"/>
          <w:sz w:val="24"/>
          <w:szCs w:val="24"/>
        </w:rPr>
        <w:t>12</w:t>
      </w:r>
      <w:r>
        <w:rPr>
          <w:rFonts w:hint="eastAsia" w:ascii="宋体" w:hAnsi="宋体"/>
          <w:color w:val="000000"/>
          <w:sz w:val="24"/>
          <w:szCs w:val="24"/>
        </w:rPr>
        <w:t>月在我院新生儿科住院治疗的足月新生儿重症感染性肺炎</w:t>
      </w:r>
      <w:r>
        <w:rPr>
          <w:rFonts w:ascii="Times New Roman" w:hAnsi="Times New Roman"/>
          <w:color w:val="000000"/>
          <w:sz w:val="24"/>
          <w:szCs w:val="24"/>
        </w:rPr>
        <w:t>128</w:t>
      </w:r>
      <w:r>
        <w:rPr>
          <w:rFonts w:hint="eastAsia" w:ascii="宋体" w:hAnsi="宋体"/>
          <w:color w:val="000000"/>
          <w:sz w:val="24"/>
          <w:szCs w:val="24"/>
        </w:rPr>
        <w:t>例，随机将其中</w:t>
      </w:r>
      <w:r>
        <w:rPr>
          <w:rFonts w:ascii="Times New Roman" w:hAnsi="Times New Roman"/>
          <w:color w:val="000000"/>
          <w:sz w:val="24"/>
          <w:szCs w:val="24"/>
        </w:rPr>
        <w:t>68</w:t>
      </w:r>
      <w:r>
        <w:rPr>
          <w:rFonts w:hint="eastAsia" w:ascii="宋体" w:hAnsi="宋体"/>
          <w:color w:val="000000"/>
          <w:sz w:val="24"/>
          <w:szCs w:val="24"/>
        </w:rPr>
        <w:t>例作为治疗组，在获得实验室血培养结果之前，无法明确哪种致病菌，采用“重拳出击”的策略，首选使用广谱抗生素亚胺培南西司他丁针剂，按</w:t>
      </w:r>
      <w:r>
        <w:rPr>
          <w:rFonts w:ascii="Times New Roman" w:hAnsi="Times New Roman"/>
          <w:color w:val="000000"/>
          <w:sz w:val="24"/>
          <w:szCs w:val="24"/>
        </w:rPr>
        <w:t>15</w:t>
      </w:r>
      <w:r>
        <w:rPr>
          <w:rFonts w:hint="eastAsia" w:ascii="宋体" w:hAnsi="宋体"/>
          <w:color w:val="000000"/>
          <w:sz w:val="24"/>
          <w:szCs w:val="24"/>
        </w:rPr>
        <w:t>mg/kg，q</w:t>
      </w:r>
      <w:r>
        <w:rPr>
          <w:rFonts w:ascii="Times New Roman" w:hAnsi="Times New Roman"/>
          <w:color w:val="000000"/>
          <w:sz w:val="24"/>
          <w:szCs w:val="24"/>
        </w:rPr>
        <w:t>6</w:t>
      </w:r>
      <w:r>
        <w:rPr>
          <w:rFonts w:hint="eastAsia" w:ascii="宋体" w:hAnsi="宋体"/>
          <w:color w:val="000000"/>
          <w:sz w:val="24"/>
          <w:szCs w:val="24"/>
        </w:rPr>
        <w:t>h，连用</w:t>
      </w:r>
      <w:r>
        <w:rPr>
          <w:rFonts w:ascii="Times New Roman" w:hAnsi="Times New Roman"/>
          <w:color w:val="000000"/>
          <w:sz w:val="24"/>
          <w:szCs w:val="24"/>
        </w:rPr>
        <w:t>3</w:t>
      </w:r>
      <w:r>
        <w:rPr>
          <w:rFonts w:hint="eastAsia" w:ascii="宋体" w:hAnsi="宋体"/>
          <w:color w:val="000000"/>
          <w:sz w:val="24"/>
          <w:szCs w:val="24"/>
        </w:rPr>
        <w:t>天，再根据血培养结果、药敏实验结果调换成敏感抗生素或至病情稳定（</w:t>
      </w:r>
      <w:r>
        <w:rPr>
          <w:rFonts w:ascii="Times New Roman" w:hAnsi="Times New Roman"/>
          <w:color w:val="000000"/>
          <w:sz w:val="24"/>
          <w:szCs w:val="24"/>
        </w:rPr>
        <w:t>Ｔ＜37.3</w:t>
      </w:r>
      <w:r>
        <w:rPr>
          <w:rFonts w:hint="eastAsia" w:ascii="宋体" w:hAnsi="宋体"/>
          <w:color w:val="000000"/>
          <w:sz w:val="24"/>
          <w:szCs w:val="24"/>
        </w:rPr>
        <w:t>℃，</w:t>
      </w:r>
      <w:r>
        <w:rPr>
          <w:rFonts w:ascii="Times New Roman" w:hAnsi="Times New Roman"/>
          <w:color w:val="000000"/>
          <w:sz w:val="24"/>
          <w:szCs w:val="24"/>
        </w:rPr>
        <w:t>Ｒ＜40</w:t>
      </w:r>
      <w:r>
        <w:rPr>
          <w:rFonts w:hint="eastAsia" w:ascii="宋体" w:hAnsi="宋体"/>
          <w:color w:val="000000"/>
          <w:sz w:val="24"/>
          <w:szCs w:val="24"/>
        </w:rPr>
        <w:t>次/分，</w:t>
      </w:r>
      <w:r>
        <w:rPr>
          <w:rFonts w:ascii="Times New Roman" w:hAnsi="Times New Roman"/>
          <w:color w:val="000000"/>
          <w:sz w:val="24"/>
          <w:szCs w:val="24"/>
        </w:rPr>
        <w:t>Ｐ＜140</w:t>
      </w:r>
      <w:r>
        <w:rPr>
          <w:rFonts w:hint="eastAsia" w:ascii="宋体" w:hAnsi="宋体"/>
          <w:color w:val="000000"/>
          <w:sz w:val="24"/>
          <w:szCs w:val="24"/>
        </w:rPr>
        <w:t>次/分，肺部啰音基本消失），降阶梯更替为美洛西林或头孢哌酮继续治疗，至临床痊愈出院。以同等条件入选同期住院的重度新生儿肺炎</w:t>
      </w:r>
      <w:r>
        <w:rPr>
          <w:rFonts w:ascii="Times New Roman" w:hAnsi="Times New Roman"/>
          <w:color w:val="000000"/>
          <w:sz w:val="24"/>
          <w:szCs w:val="24"/>
        </w:rPr>
        <w:t>60</w:t>
      </w:r>
      <w:r>
        <w:rPr>
          <w:rFonts w:hint="eastAsia" w:ascii="宋体" w:hAnsi="宋体"/>
          <w:color w:val="000000"/>
          <w:sz w:val="24"/>
          <w:szCs w:val="24"/>
        </w:rPr>
        <w:t>例作为对照组，按普通经验性抗生素选药方法，给予头孢曲松钠</w:t>
      </w:r>
      <w:r>
        <w:rPr>
          <w:rFonts w:ascii="Times New Roman" w:hAnsi="Times New Roman"/>
          <w:color w:val="000000"/>
          <w:sz w:val="24"/>
          <w:szCs w:val="24"/>
        </w:rPr>
        <w:t>50~100</w:t>
      </w:r>
      <w:r>
        <w:rPr>
          <w:rFonts w:hint="eastAsia" w:ascii="宋体" w:hAnsi="宋体"/>
          <w:color w:val="000000"/>
          <w:sz w:val="24"/>
          <w:szCs w:val="24"/>
        </w:rPr>
        <w:t>mg/kg，qd，静脉点滴，直至临床症状消失，基本达临床治愈出院，或者在使用</w:t>
      </w:r>
      <w:r>
        <w:rPr>
          <w:rFonts w:ascii="Times New Roman" w:hAnsi="Times New Roman"/>
          <w:color w:val="000000"/>
          <w:sz w:val="24"/>
          <w:szCs w:val="24"/>
        </w:rPr>
        <w:t>3~5</w:t>
      </w:r>
      <w:r>
        <w:rPr>
          <w:rFonts w:hint="eastAsia" w:ascii="宋体" w:hAnsi="宋体"/>
          <w:color w:val="000000"/>
          <w:sz w:val="24"/>
          <w:szCs w:val="24"/>
        </w:rPr>
        <w:t>天后，仍咳嗽，肺部啰音不明显减少时抗生素</w:t>
      </w:r>
      <w:r>
        <w:rPr>
          <w:rFonts w:hint="eastAsia" w:ascii="宋体" w:hAnsi="宋体"/>
          <w:color w:val="000000" w:themeColor="text1"/>
          <w:sz w:val="24"/>
          <w:szCs w:val="24"/>
          <w14:textFill>
            <w14:solidFill>
              <w14:schemeClr w14:val="tx1"/>
            </w14:solidFill>
          </w14:textFill>
        </w:rPr>
        <w:t>升级为第三代头孢菌素+酶抑制剂抗</w:t>
      </w:r>
      <w:r>
        <w:rPr>
          <w:rFonts w:hint="eastAsia" w:ascii="宋体" w:hAnsi="宋体"/>
          <w:color w:val="000000"/>
          <w:sz w:val="24"/>
          <w:szCs w:val="24"/>
        </w:rPr>
        <w:t>生素或碳青霉烯类</w:t>
      </w:r>
      <w:r>
        <w:rPr>
          <w:rFonts w:hint="eastAsia" w:ascii="宋体" w:hAnsi="宋体"/>
          <w:color w:val="000000" w:themeColor="text1"/>
          <w:sz w:val="24"/>
          <w:szCs w:val="24"/>
          <w14:textFill>
            <w14:solidFill>
              <w14:schemeClr w14:val="tx1"/>
            </w14:solidFill>
          </w14:textFill>
        </w:rPr>
        <w:t>广谱抗生素继</w:t>
      </w:r>
      <w:r>
        <w:rPr>
          <w:rFonts w:hint="eastAsia" w:ascii="宋体" w:hAnsi="宋体"/>
          <w:color w:val="000000"/>
          <w:sz w:val="24"/>
          <w:szCs w:val="24"/>
        </w:rPr>
        <w:t>续静脉点滴，直至临床痊愈出院。</w:t>
      </w:r>
    </w:p>
    <w:p>
      <w:pPr>
        <w:autoSpaceDE w:val="0"/>
        <w:autoSpaceDN w:val="0"/>
        <w:adjustRightInd w:val="0"/>
        <w:spacing w:line="360" w:lineRule="auto"/>
        <w:ind w:firstLine="500"/>
        <w:jc w:val="left"/>
        <w:rPr>
          <w:rFonts w:hint="eastAsia" w:ascii="宋体" w:hAnsi="宋体"/>
          <w:b/>
          <w:bCs/>
          <w:color w:val="000000"/>
          <w:sz w:val="24"/>
          <w:szCs w:val="24"/>
        </w:rPr>
      </w:pPr>
      <w:r>
        <w:rPr>
          <w:rFonts w:hint="eastAsia" w:ascii="黑体" w:hAnsi="黑体" w:eastAsia="黑体" w:cs="黑体"/>
          <w:b w:val="0"/>
          <w:bCs w:val="0"/>
          <w:color w:val="000000"/>
          <w:sz w:val="28"/>
          <w:szCs w:val="28"/>
        </w:rPr>
        <w:t>结果</w:t>
      </w:r>
      <w:r>
        <w:rPr>
          <w:rFonts w:hint="eastAsia" w:ascii="宋体" w:hAnsi="宋体"/>
          <w:b/>
          <w:bCs/>
          <w:color w:val="000000"/>
          <w:sz w:val="24"/>
          <w:szCs w:val="24"/>
        </w:rPr>
        <w:t xml:space="preserve"> </w:t>
      </w:r>
    </w:p>
    <w:p>
      <w:pPr>
        <w:autoSpaceDE w:val="0"/>
        <w:autoSpaceDN w:val="0"/>
        <w:adjustRightInd w:val="0"/>
        <w:spacing w:line="360" w:lineRule="auto"/>
        <w:ind w:firstLine="500"/>
        <w:jc w:val="left"/>
        <w:rPr>
          <w:rFonts w:hint="eastAsia" w:ascii="宋体" w:hAnsi="宋体"/>
          <w:color w:val="000000"/>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 xml:space="preserve"> = 1 \* Arabic </w:instrText>
      </w:r>
      <w:r>
        <w:rPr>
          <w:rFonts w:ascii="Times New Roman" w:hAnsi="Times New Roman"/>
          <w:color w:val="000000"/>
          <w:sz w:val="24"/>
          <w:szCs w:val="24"/>
        </w:rPr>
        <w:fldChar w:fldCharType="separate"/>
      </w:r>
      <w:r>
        <w:rPr>
          <w:rFonts w:ascii="Times New Roman" w:hAnsi="Times New Roman"/>
          <w:color w:val="000000"/>
          <w:sz w:val="24"/>
          <w:szCs w:val="24"/>
        </w:rPr>
        <w:t>1</w:t>
      </w:r>
      <w:r>
        <w:rPr>
          <w:rFonts w:ascii="Times New Roman" w:hAnsi="Times New Roman"/>
          <w:color w:val="000000"/>
          <w:sz w:val="24"/>
          <w:szCs w:val="24"/>
        </w:rPr>
        <w:fldChar w:fldCharType="end"/>
      </w:r>
      <w:r>
        <w:rPr>
          <w:rFonts w:ascii="Times New Roman" w:hAnsi="Times New Roman"/>
          <w:color w:val="000000"/>
          <w:sz w:val="24"/>
          <w:szCs w:val="24"/>
        </w:rPr>
        <w:t>、</w:t>
      </w:r>
      <w:r>
        <w:rPr>
          <w:rFonts w:hint="eastAsia" w:ascii="宋体" w:hAnsi="宋体"/>
          <w:color w:val="000000"/>
          <w:sz w:val="24"/>
          <w:szCs w:val="24"/>
        </w:rPr>
        <w:t>两组有效率进行统计比较 通过对治疗组（降阶梯治疗组）和对照组（常规升阶梯治疗组）进行统计分析，得出治疗组中</w:t>
      </w:r>
      <w:r>
        <w:rPr>
          <w:rFonts w:ascii="Times New Roman" w:hAnsi="Times New Roman"/>
          <w:color w:val="000000"/>
          <w:sz w:val="24"/>
          <w:szCs w:val="24"/>
        </w:rPr>
        <w:t>68</w:t>
      </w:r>
      <w:r>
        <w:rPr>
          <w:rFonts w:hint="eastAsia" w:ascii="宋体" w:hAnsi="宋体"/>
          <w:color w:val="000000"/>
          <w:sz w:val="24"/>
          <w:szCs w:val="24"/>
        </w:rPr>
        <w:t>例患儿，其中显效</w:t>
      </w:r>
      <w:r>
        <w:rPr>
          <w:rFonts w:ascii="Times New Roman" w:hAnsi="Times New Roman"/>
          <w:color w:val="000000"/>
          <w:sz w:val="24"/>
          <w:szCs w:val="24"/>
        </w:rPr>
        <w:t>40</w:t>
      </w:r>
      <w:r>
        <w:rPr>
          <w:rFonts w:hint="eastAsia" w:ascii="宋体" w:hAnsi="宋体"/>
          <w:color w:val="000000"/>
          <w:sz w:val="24"/>
          <w:szCs w:val="24"/>
        </w:rPr>
        <w:t>例，占治疗组百分率为</w:t>
      </w:r>
      <w:r>
        <w:rPr>
          <w:rFonts w:ascii="Times New Roman" w:hAnsi="Times New Roman"/>
          <w:color w:val="000000"/>
          <w:sz w:val="24"/>
          <w:szCs w:val="24"/>
        </w:rPr>
        <w:t>58.8</w:t>
      </w:r>
      <w:r>
        <w:rPr>
          <w:rFonts w:hint="eastAsia" w:ascii="宋体" w:hAnsi="宋体"/>
          <w:color w:val="000000"/>
          <w:sz w:val="24"/>
          <w:szCs w:val="24"/>
        </w:rPr>
        <w:t>%；有效</w:t>
      </w:r>
      <w:r>
        <w:rPr>
          <w:rFonts w:ascii="Times New Roman" w:hAnsi="Times New Roman"/>
          <w:color w:val="000000"/>
          <w:sz w:val="24"/>
          <w:szCs w:val="24"/>
        </w:rPr>
        <w:t>28</w:t>
      </w:r>
      <w:r>
        <w:rPr>
          <w:rFonts w:hint="eastAsia" w:ascii="宋体" w:hAnsi="宋体"/>
          <w:color w:val="000000"/>
          <w:sz w:val="24"/>
          <w:szCs w:val="24"/>
        </w:rPr>
        <w:t>例，百分率为</w:t>
      </w:r>
      <w:r>
        <w:rPr>
          <w:rFonts w:ascii="Times New Roman" w:hAnsi="Times New Roman"/>
          <w:color w:val="000000"/>
          <w:sz w:val="24"/>
          <w:szCs w:val="24"/>
        </w:rPr>
        <w:t>41.2</w:t>
      </w:r>
      <w:r>
        <w:rPr>
          <w:rFonts w:hint="eastAsia" w:ascii="宋体" w:hAnsi="宋体"/>
          <w:color w:val="000000"/>
          <w:sz w:val="24"/>
          <w:szCs w:val="24"/>
        </w:rPr>
        <w:t>%；无效</w:t>
      </w:r>
      <w:r>
        <w:rPr>
          <w:rFonts w:ascii="Times New Roman" w:hAnsi="Times New Roman"/>
          <w:color w:val="000000"/>
          <w:sz w:val="24"/>
          <w:szCs w:val="24"/>
        </w:rPr>
        <w:t>0</w:t>
      </w:r>
      <w:r>
        <w:rPr>
          <w:rFonts w:hint="eastAsia" w:ascii="宋体" w:hAnsi="宋体"/>
          <w:color w:val="000000"/>
          <w:sz w:val="24"/>
          <w:szCs w:val="24"/>
        </w:rPr>
        <w:t>例；对照组（常规升阶梯治疗）</w:t>
      </w:r>
      <w:r>
        <w:rPr>
          <w:rFonts w:ascii="Times New Roman" w:hAnsi="Times New Roman"/>
          <w:color w:val="000000"/>
          <w:sz w:val="24"/>
          <w:szCs w:val="24"/>
        </w:rPr>
        <w:t>60</w:t>
      </w:r>
      <w:r>
        <w:rPr>
          <w:rFonts w:hint="eastAsia" w:ascii="宋体" w:hAnsi="宋体"/>
          <w:color w:val="000000"/>
          <w:sz w:val="24"/>
          <w:szCs w:val="24"/>
        </w:rPr>
        <w:t>例，其中显效</w:t>
      </w:r>
      <w:r>
        <w:rPr>
          <w:rFonts w:ascii="Times New Roman" w:hAnsi="Times New Roman"/>
          <w:color w:val="000000"/>
          <w:sz w:val="24"/>
          <w:szCs w:val="24"/>
        </w:rPr>
        <w:t>30</w:t>
      </w:r>
      <w:r>
        <w:rPr>
          <w:rFonts w:hint="eastAsia" w:ascii="宋体" w:hAnsi="宋体"/>
          <w:color w:val="000000"/>
          <w:sz w:val="24"/>
          <w:szCs w:val="24"/>
        </w:rPr>
        <w:t>例，百分率为</w:t>
      </w:r>
      <w:r>
        <w:rPr>
          <w:rFonts w:ascii="Times New Roman" w:hAnsi="Times New Roman"/>
          <w:color w:val="000000"/>
          <w:sz w:val="24"/>
          <w:szCs w:val="24"/>
        </w:rPr>
        <w:t>53.5</w:t>
      </w:r>
      <w:r>
        <w:rPr>
          <w:rFonts w:hint="eastAsia" w:ascii="宋体" w:hAnsi="宋体"/>
          <w:color w:val="000000"/>
          <w:sz w:val="24"/>
          <w:szCs w:val="24"/>
        </w:rPr>
        <w:t>%；有效</w:t>
      </w:r>
      <w:r>
        <w:rPr>
          <w:rFonts w:ascii="Times New Roman" w:hAnsi="Times New Roman"/>
          <w:color w:val="000000"/>
          <w:sz w:val="24"/>
          <w:szCs w:val="24"/>
        </w:rPr>
        <w:t>20</w:t>
      </w:r>
      <w:r>
        <w:rPr>
          <w:rFonts w:hint="eastAsia" w:ascii="宋体" w:hAnsi="宋体"/>
          <w:color w:val="000000"/>
          <w:sz w:val="24"/>
          <w:szCs w:val="24"/>
        </w:rPr>
        <w:t>例，百分率为</w:t>
      </w:r>
      <w:r>
        <w:rPr>
          <w:rFonts w:ascii="Times New Roman" w:hAnsi="Times New Roman"/>
          <w:color w:val="000000"/>
          <w:sz w:val="24"/>
          <w:szCs w:val="24"/>
        </w:rPr>
        <w:t>33.3</w:t>
      </w:r>
      <w:r>
        <w:rPr>
          <w:rFonts w:hint="eastAsia" w:ascii="宋体" w:hAnsi="宋体"/>
          <w:color w:val="000000"/>
          <w:sz w:val="24"/>
          <w:szCs w:val="24"/>
        </w:rPr>
        <w:t>%；无效</w:t>
      </w:r>
      <w:r>
        <w:rPr>
          <w:rFonts w:ascii="Times New Roman" w:hAnsi="Times New Roman"/>
          <w:color w:val="000000"/>
          <w:sz w:val="24"/>
          <w:szCs w:val="24"/>
        </w:rPr>
        <w:t>8</w:t>
      </w:r>
      <w:r>
        <w:rPr>
          <w:rFonts w:hint="eastAsia" w:ascii="宋体" w:hAnsi="宋体"/>
          <w:color w:val="000000"/>
          <w:sz w:val="24"/>
          <w:szCs w:val="24"/>
        </w:rPr>
        <w:t>例，百分率为</w:t>
      </w:r>
      <w:r>
        <w:rPr>
          <w:rFonts w:ascii="Times New Roman" w:hAnsi="Times New Roman"/>
          <w:color w:val="000000"/>
          <w:sz w:val="24"/>
          <w:szCs w:val="24"/>
        </w:rPr>
        <w:t>13.3</w:t>
      </w:r>
      <w:r>
        <w:rPr>
          <w:rFonts w:hint="eastAsia" w:ascii="宋体" w:hAnsi="宋体"/>
          <w:color w:val="000000"/>
          <w:sz w:val="24"/>
          <w:szCs w:val="24"/>
        </w:rPr>
        <w:t>%。将两组数据进行计数资料卡方检验得出</w:t>
      </w:r>
      <w:r>
        <w:rPr>
          <w:rFonts w:ascii="Times New Roman" w:hAnsi="Times New Roman"/>
          <w:i/>
          <w:color w:val="000000"/>
          <w:kern w:val="0"/>
          <w:sz w:val="24"/>
          <w:szCs w:val="24"/>
        </w:rPr>
        <w:t>χ</w:t>
      </w:r>
      <w:r>
        <w:rPr>
          <w:rFonts w:ascii="Times New Roman" w:hAnsi="Times New Roman"/>
          <w:i/>
          <w:color w:val="000000"/>
          <w:kern w:val="0"/>
          <w:sz w:val="24"/>
          <w:szCs w:val="24"/>
          <w:vertAlign w:val="superscript"/>
        </w:rPr>
        <w:t>2</w:t>
      </w:r>
      <w:r>
        <w:rPr>
          <w:rFonts w:ascii="Times New Roman" w:hAnsi="Times New Roman"/>
          <w:color w:val="000000"/>
          <w:sz w:val="24"/>
          <w:szCs w:val="24"/>
        </w:rPr>
        <w:t>=9.760，P=0.008</w:t>
      </w:r>
      <w:r>
        <w:rPr>
          <w:rFonts w:hint="eastAsia" w:ascii="宋体" w:hAnsi="宋体"/>
          <w:color w:val="000000"/>
          <w:sz w:val="24"/>
          <w:szCs w:val="24"/>
        </w:rPr>
        <w:t xml:space="preserve">，差异显著具有统计学意义，可以得出降阶梯治疗组明显较对照组有效率高。 </w:t>
      </w:r>
      <w:r>
        <w:rPr>
          <w:rFonts w:hint="eastAsia" w:ascii="宋体" w:hAnsi="宋体"/>
          <w:color w:val="000000"/>
          <w:sz w:val="24"/>
          <w:szCs w:val="24"/>
        </w:rPr>
        <w:fldChar w:fldCharType="begin"/>
      </w:r>
      <w:r>
        <w:rPr>
          <w:rFonts w:hint="eastAsia" w:ascii="宋体" w:hAnsi="宋体"/>
          <w:color w:val="000000"/>
          <w:sz w:val="24"/>
          <w:szCs w:val="24"/>
        </w:rPr>
        <w:instrText xml:space="preserve"> = 2 \* Arabic </w:instrText>
      </w:r>
      <w:r>
        <w:rPr>
          <w:rFonts w:ascii="宋体" w:hAnsi="宋体"/>
          <w:color w:val="000000"/>
          <w:sz w:val="24"/>
          <w:szCs w:val="24"/>
        </w:rPr>
        <w:fldChar w:fldCharType="separate"/>
      </w:r>
      <w:r>
        <w:rPr>
          <w:rFonts w:hint="eastAsia" w:ascii="宋体" w:hAnsi="宋体"/>
          <w:color w:val="000000"/>
          <w:sz w:val="24"/>
          <w:szCs w:val="24"/>
        </w:rPr>
        <w:t>2</w:t>
      </w:r>
      <w:r>
        <w:rPr>
          <w:rFonts w:hint="eastAsia" w:ascii="宋体" w:hAnsi="宋体"/>
          <w:color w:val="000000"/>
          <w:sz w:val="24"/>
          <w:szCs w:val="24"/>
        </w:rPr>
        <w:fldChar w:fldCharType="end"/>
      </w:r>
      <w:r>
        <w:rPr>
          <w:rFonts w:hint="eastAsia" w:ascii="宋体" w:hAnsi="宋体"/>
          <w:color w:val="000000"/>
          <w:sz w:val="24"/>
          <w:szCs w:val="24"/>
        </w:rPr>
        <w:t>、两组在白细胞、</w:t>
      </w:r>
      <w:r>
        <w:rPr>
          <w:rFonts w:ascii="Times New Roman" w:hAnsi="Times New Roman"/>
          <w:color w:val="000000"/>
          <w:sz w:val="24"/>
          <w:szCs w:val="24"/>
        </w:rPr>
        <w:t>hs-CRP</w:t>
      </w:r>
      <w:r>
        <w:rPr>
          <w:rFonts w:hint="eastAsia" w:ascii="宋体" w:hAnsi="宋体"/>
          <w:color w:val="000000"/>
          <w:sz w:val="24"/>
          <w:szCs w:val="24"/>
        </w:rPr>
        <w:t>治疗前后的比较 在治疗前，治疗组与对照组在白细胞及</w:t>
      </w:r>
      <w:r>
        <w:rPr>
          <w:rFonts w:ascii="Times New Roman" w:hAnsi="Times New Roman"/>
          <w:color w:val="000000"/>
          <w:sz w:val="24"/>
          <w:szCs w:val="24"/>
        </w:rPr>
        <w:t>hs-CRP</w:t>
      </w:r>
      <w:r>
        <w:rPr>
          <w:rFonts w:hint="eastAsia" w:ascii="宋体" w:hAnsi="宋体"/>
          <w:color w:val="000000"/>
          <w:sz w:val="24"/>
          <w:szCs w:val="24"/>
        </w:rPr>
        <w:t>数值差异无明显统计学意义（</w:t>
      </w:r>
      <w:r>
        <w:rPr>
          <w:rFonts w:ascii="Times New Roman" w:hAnsi="Times New Roman"/>
          <w:color w:val="000000"/>
          <w:sz w:val="24"/>
          <w:szCs w:val="24"/>
        </w:rPr>
        <w:t>P&gt;0.05</w:t>
      </w:r>
      <w:r>
        <w:rPr>
          <w:rFonts w:hint="eastAsia" w:ascii="宋体" w:hAnsi="宋体"/>
          <w:color w:val="000000"/>
          <w:sz w:val="24"/>
          <w:szCs w:val="24"/>
        </w:rPr>
        <w:t>），在治疗后治疗组较对照组明显下降，具有统计学意义（</w:t>
      </w:r>
      <w:r>
        <w:rPr>
          <w:rFonts w:ascii="Times New Roman" w:hAnsi="Times New Roman"/>
          <w:color w:val="000000"/>
          <w:sz w:val="24"/>
          <w:szCs w:val="24"/>
        </w:rPr>
        <w:t>P&lt;0.05</w:t>
      </w:r>
      <w:r>
        <w:rPr>
          <w:rFonts w:hint="eastAsia" w:ascii="宋体" w:hAnsi="宋体"/>
          <w:color w:val="000000"/>
          <w:sz w:val="24"/>
          <w:szCs w:val="24"/>
        </w:rPr>
        <w:t>）。</w:t>
      </w:r>
    </w:p>
    <w:p>
      <w:pPr>
        <w:numPr>
          <w:ilvl w:val="0"/>
          <w:numId w:val="1"/>
        </w:numPr>
        <w:autoSpaceDE w:val="0"/>
        <w:autoSpaceDN w:val="0"/>
        <w:adjustRightInd w:val="0"/>
        <w:spacing w:line="360" w:lineRule="auto"/>
        <w:jc w:val="left"/>
        <w:rPr>
          <w:rFonts w:hint="eastAsia" w:ascii="宋体" w:hAnsi="宋体"/>
          <w:color w:val="000000"/>
          <w:sz w:val="24"/>
          <w:szCs w:val="24"/>
        </w:rPr>
      </w:pPr>
      <w:r>
        <w:rPr>
          <w:rFonts w:hint="eastAsia" w:ascii="宋体" w:hAnsi="宋体"/>
          <w:color w:val="000000"/>
          <w:sz w:val="24"/>
          <w:szCs w:val="24"/>
        </w:rPr>
        <w:t xml:space="preserve">两组治疗效果的比较 </w:t>
      </w:r>
      <w:r>
        <w:rPr>
          <w:rFonts w:hint="eastAsia" w:ascii="宋体" w:hAnsi="宋体"/>
          <w:color w:val="000000"/>
          <w:sz w:val="24"/>
          <w:szCs w:val="24"/>
        </w:rPr>
        <w:fldChar w:fldCharType="begin"/>
      </w:r>
      <w:r>
        <w:rPr>
          <w:rFonts w:hint="eastAsia" w:ascii="宋体" w:hAnsi="宋体"/>
          <w:color w:val="000000"/>
          <w:sz w:val="24"/>
          <w:szCs w:val="24"/>
        </w:rPr>
        <w:instrText xml:space="preserve"> = 1 \* GB2 </w:instrText>
      </w:r>
      <w:r>
        <w:rPr>
          <w:rFonts w:ascii="宋体" w:hAnsi="宋体"/>
          <w:color w:val="000000"/>
          <w:sz w:val="24"/>
          <w:szCs w:val="24"/>
        </w:rPr>
        <w:fldChar w:fldCharType="separate"/>
      </w:r>
      <w:r>
        <w:rPr>
          <w:rFonts w:hint="eastAsia" w:ascii="宋体" w:hAnsi="宋体"/>
          <w:color w:val="000000"/>
          <w:sz w:val="24"/>
          <w:szCs w:val="24"/>
        </w:rPr>
        <w:t>⑴</w:t>
      </w:r>
      <w:r>
        <w:rPr>
          <w:rFonts w:hint="eastAsia" w:ascii="宋体" w:hAnsi="宋体"/>
          <w:color w:val="000000"/>
          <w:sz w:val="24"/>
          <w:szCs w:val="24"/>
        </w:rPr>
        <w:fldChar w:fldCharType="end"/>
      </w:r>
      <w:r>
        <w:rPr>
          <w:rFonts w:hint="eastAsia" w:ascii="宋体" w:hAnsi="宋体"/>
          <w:color w:val="000000"/>
          <w:sz w:val="24"/>
          <w:szCs w:val="24"/>
        </w:rPr>
        <w:t>.两组重症新生儿感染性肺炎在体温下降至正常范围过程中，治疗组平均所用时间</w:t>
      </w:r>
      <w:r>
        <w:rPr>
          <w:rFonts w:ascii="Times New Roman" w:hAnsi="Times New Roman"/>
          <w:color w:val="000000"/>
          <w:sz w:val="24"/>
          <w:szCs w:val="24"/>
        </w:rPr>
        <w:t>26</w:t>
      </w:r>
      <w:r>
        <w:rPr>
          <w:rFonts w:ascii="Times New Roman" w:hAnsi="Times New Roman"/>
          <w:color w:val="000000"/>
          <w:sz w:val="24"/>
          <w:szCs w:val="24"/>
          <w:u w:val="single"/>
        </w:rPr>
        <w:t>+</w:t>
      </w:r>
      <w:r>
        <w:rPr>
          <w:rFonts w:ascii="Times New Roman" w:hAnsi="Times New Roman"/>
          <w:color w:val="000000"/>
          <w:sz w:val="24"/>
          <w:szCs w:val="24"/>
        </w:rPr>
        <w:t xml:space="preserve"> 4h</w:t>
      </w:r>
      <w:r>
        <w:rPr>
          <w:rFonts w:hint="eastAsia" w:ascii="宋体" w:hAnsi="宋体"/>
          <w:color w:val="000000"/>
          <w:sz w:val="24"/>
          <w:szCs w:val="24"/>
        </w:rPr>
        <w:t>，对照组所用时间</w:t>
      </w:r>
      <w:r>
        <w:rPr>
          <w:rFonts w:ascii="Times New Roman" w:hAnsi="Times New Roman"/>
          <w:color w:val="000000"/>
          <w:sz w:val="24"/>
          <w:szCs w:val="24"/>
        </w:rPr>
        <w:t>48</w:t>
      </w:r>
      <w:r>
        <w:rPr>
          <w:rFonts w:ascii="Times New Roman" w:hAnsi="Times New Roman"/>
          <w:color w:val="000000"/>
          <w:sz w:val="24"/>
          <w:szCs w:val="24"/>
          <w:u w:val="single"/>
        </w:rPr>
        <w:t>+</w:t>
      </w:r>
      <w:r>
        <w:rPr>
          <w:rFonts w:ascii="Times New Roman" w:hAnsi="Times New Roman"/>
          <w:color w:val="000000"/>
          <w:sz w:val="24"/>
          <w:szCs w:val="24"/>
        </w:rPr>
        <w:t>3</w:t>
      </w:r>
      <w:r>
        <w:rPr>
          <w:rFonts w:hint="eastAsia" w:ascii="宋体" w:hAnsi="宋体"/>
          <w:color w:val="000000"/>
          <w:sz w:val="24"/>
          <w:szCs w:val="24"/>
        </w:rPr>
        <w:t>h。治疗组与对照组相比</w:t>
      </w:r>
      <w:r>
        <w:rPr>
          <w:rFonts w:ascii="Times New Roman" w:hAnsi="Times New Roman"/>
          <w:color w:val="000000"/>
          <w:sz w:val="24"/>
          <w:szCs w:val="24"/>
        </w:rPr>
        <w:t>t=27.16</w:t>
      </w:r>
      <w:r>
        <w:rPr>
          <w:rFonts w:hint="eastAsia" w:ascii="宋体" w:hAnsi="宋体"/>
          <w:color w:val="000000"/>
          <w:sz w:val="24"/>
          <w:szCs w:val="24"/>
        </w:rPr>
        <w:t>,</w:t>
      </w:r>
      <w:r>
        <w:rPr>
          <w:rFonts w:ascii="Times New Roman" w:hAnsi="Times New Roman"/>
          <w:color w:val="000000"/>
          <w:sz w:val="24"/>
          <w:szCs w:val="24"/>
        </w:rPr>
        <w:t>p＜0.001</w:t>
      </w:r>
      <w:r>
        <w:rPr>
          <w:rFonts w:hint="eastAsia" w:ascii="宋体" w:hAnsi="宋体"/>
          <w:color w:val="000000"/>
          <w:sz w:val="24"/>
          <w:szCs w:val="24"/>
        </w:rPr>
        <w:t>。</w:t>
      </w:r>
      <w:r>
        <w:rPr>
          <w:rFonts w:hint="eastAsia" w:ascii="宋体" w:hAnsi="宋体"/>
          <w:color w:val="000000"/>
          <w:sz w:val="24"/>
          <w:szCs w:val="24"/>
        </w:rPr>
        <w:fldChar w:fldCharType="begin"/>
      </w:r>
      <w:r>
        <w:rPr>
          <w:rFonts w:hint="eastAsia" w:ascii="宋体" w:hAnsi="宋体"/>
          <w:color w:val="000000"/>
          <w:sz w:val="24"/>
          <w:szCs w:val="24"/>
        </w:rPr>
        <w:instrText xml:space="preserve"> = 2 \* GB2 </w:instrText>
      </w:r>
      <w:r>
        <w:rPr>
          <w:rFonts w:ascii="宋体" w:hAnsi="宋体"/>
          <w:color w:val="000000"/>
          <w:sz w:val="24"/>
          <w:szCs w:val="24"/>
        </w:rPr>
        <w:fldChar w:fldCharType="separate"/>
      </w:r>
      <w:r>
        <w:rPr>
          <w:rFonts w:hint="eastAsia" w:ascii="宋体" w:hAnsi="宋体"/>
          <w:color w:val="000000"/>
          <w:sz w:val="24"/>
          <w:szCs w:val="24"/>
        </w:rPr>
        <w:t>⑵</w:t>
      </w:r>
      <w:r>
        <w:rPr>
          <w:rFonts w:hint="eastAsia" w:ascii="宋体" w:hAnsi="宋体"/>
          <w:color w:val="000000"/>
          <w:sz w:val="24"/>
          <w:szCs w:val="24"/>
        </w:rPr>
        <w:fldChar w:fldCharType="end"/>
      </w:r>
      <w:r>
        <w:rPr>
          <w:rFonts w:hint="eastAsia" w:ascii="宋体" w:hAnsi="宋体"/>
          <w:color w:val="000000"/>
          <w:sz w:val="24"/>
          <w:szCs w:val="24"/>
        </w:rPr>
        <w:t>.两组病例在呼吸平稳（</w:t>
      </w:r>
      <w:r>
        <w:rPr>
          <w:rFonts w:ascii="Times New Roman" w:hAnsi="Times New Roman"/>
          <w:color w:val="000000"/>
          <w:sz w:val="24"/>
          <w:szCs w:val="24"/>
        </w:rPr>
        <w:t>R＜40</w:t>
      </w:r>
      <w:r>
        <w:rPr>
          <w:rFonts w:hint="eastAsia" w:ascii="宋体" w:hAnsi="宋体"/>
          <w:color w:val="000000"/>
          <w:sz w:val="24"/>
          <w:szCs w:val="24"/>
        </w:rPr>
        <w:t>次/分），吸气三凹征消失时间方面，治疗组平均为</w:t>
      </w:r>
      <w:r>
        <w:rPr>
          <w:rFonts w:ascii="Times New Roman" w:hAnsi="Times New Roman"/>
          <w:color w:val="000000"/>
          <w:sz w:val="24"/>
          <w:szCs w:val="24"/>
        </w:rPr>
        <w:t>48</w:t>
      </w:r>
      <w:r>
        <w:rPr>
          <w:rFonts w:ascii="Times New Roman" w:hAnsi="Times New Roman"/>
          <w:color w:val="000000"/>
          <w:sz w:val="24"/>
          <w:szCs w:val="24"/>
          <w:u w:val="single"/>
        </w:rPr>
        <w:t>+</w:t>
      </w:r>
      <w:r>
        <w:rPr>
          <w:rFonts w:ascii="Times New Roman" w:hAnsi="Times New Roman"/>
          <w:color w:val="000000"/>
          <w:sz w:val="24"/>
          <w:szCs w:val="24"/>
        </w:rPr>
        <w:t>8</w:t>
      </w:r>
      <w:r>
        <w:rPr>
          <w:rFonts w:hint="eastAsia" w:ascii="宋体" w:hAnsi="宋体"/>
          <w:color w:val="000000"/>
          <w:sz w:val="24"/>
          <w:szCs w:val="24"/>
        </w:rPr>
        <w:t>h，对照组为</w:t>
      </w:r>
      <w:r>
        <w:rPr>
          <w:rFonts w:ascii="Times New Roman" w:hAnsi="Times New Roman"/>
          <w:color w:val="000000"/>
          <w:sz w:val="24"/>
          <w:szCs w:val="24"/>
        </w:rPr>
        <w:t>72</w:t>
      </w:r>
      <w:r>
        <w:rPr>
          <w:rFonts w:ascii="Times New Roman" w:hAnsi="Times New Roman"/>
          <w:color w:val="000000"/>
          <w:sz w:val="24"/>
          <w:szCs w:val="24"/>
          <w:u w:val="single"/>
        </w:rPr>
        <w:t>+</w:t>
      </w:r>
      <w:r>
        <w:rPr>
          <w:rFonts w:ascii="Times New Roman" w:hAnsi="Times New Roman"/>
          <w:color w:val="000000"/>
          <w:sz w:val="24"/>
          <w:szCs w:val="24"/>
        </w:rPr>
        <w:t>6</w:t>
      </w:r>
      <w:r>
        <w:rPr>
          <w:rFonts w:hint="eastAsia" w:ascii="宋体" w:hAnsi="宋体"/>
          <w:color w:val="000000"/>
          <w:sz w:val="24"/>
          <w:szCs w:val="24"/>
        </w:rPr>
        <w:t>h，组间比较，</w:t>
      </w:r>
      <w:r>
        <w:rPr>
          <w:rFonts w:ascii="Times New Roman" w:hAnsi="Times New Roman"/>
          <w:color w:val="000000"/>
          <w:sz w:val="24"/>
          <w:szCs w:val="24"/>
        </w:rPr>
        <w:t>t=70.86</w:t>
      </w:r>
      <w:r>
        <w:rPr>
          <w:rFonts w:hint="eastAsia" w:ascii="宋体" w:hAnsi="宋体"/>
          <w:color w:val="000000"/>
          <w:sz w:val="24"/>
          <w:szCs w:val="24"/>
        </w:rPr>
        <w:t>,</w:t>
      </w:r>
      <w:r>
        <w:rPr>
          <w:rFonts w:ascii="Times New Roman" w:hAnsi="Times New Roman"/>
          <w:color w:val="000000"/>
          <w:sz w:val="24"/>
          <w:szCs w:val="24"/>
        </w:rPr>
        <w:t>p＜0.001</w:t>
      </w:r>
      <w:r>
        <w:rPr>
          <w:rFonts w:hint="eastAsia" w:ascii="宋体" w:hAnsi="宋体"/>
          <w:color w:val="000000"/>
          <w:sz w:val="24"/>
          <w:szCs w:val="24"/>
        </w:rPr>
        <w:t>；</w:t>
      </w:r>
      <w:r>
        <w:rPr>
          <w:rFonts w:hint="eastAsia" w:ascii="宋体" w:hAnsi="宋体"/>
          <w:color w:val="000000"/>
          <w:sz w:val="24"/>
          <w:szCs w:val="24"/>
        </w:rPr>
        <w:fldChar w:fldCharType="begin"/>
      </w:r>
      <w:r>
        <w:rPr>
          <w:rFonts w:hint="eastAsia" w:ascii="宋体" w:hAnsi="宋体"/>
          <w:color w:val="000000"/>
          <w:sz w:val="24"/>
          <w:szCs w:val="24"/>
        </w:rPr>
        <w:instrText xml:space="preserve"> = 3 \* GB2 </w:instrText>
      </w:r>
      <w:r>
        <w:rPr>
          <w:rFonts w:ascii="宋体" w:hAnsi="宋体"/>
          <w:color w:val="000000"/>
          <w:sz w:val="24"/>
          <w:szCs w:val="24"/>
        </w:rPr>
        <w:fldChar w:fldCharType="separate"/>
      </w:r>
      <w:r>
        <w:rPr>
          <w:rFonts w:hint="eastAsia" w:ascii="宋体" w:hAnsi="宋体"/>
          <w:color w:val="000000"/>
          <w:sz w:val="24"/>
          <w:szCs w:val="24"/>
        </w:rPr>
        <w:t>⑶</w:t>
      </w:r>
      <w:r>
        <w:rPr>
          <w:rFonts w:hint="eastAsia" w:ascii="宋体" w:hAnsi="宋体"/>
          <w:color w:val="000000"/>
          <w:sz w:val="24"/>
          <w:szCs w:val="24"/>
        </w:rPr>
        <w:fldChar w:fldCharType="end"/>
      </w:r>
      <w:r>
        <w:rPr>
          <w:rFonts w:hint="eastAsia" w:ascii="宋体" w:hAnsi="宋体"/>
          <w:color w:val="000000"/>
          <w:sz w:val="24"/>
          <w:szCs w:val="24"/>
        </w:rPr>
        <w:t>.在肺部啰音消失时间方面，治疗组为</w:t>
      </w:r>
      <w:r>
        <w:rPr>
          <w:rFonts w:ascii="Times New Roman" w:hAnsi="Times New Roman"/>
          <w:color w:val="000000"/>
          <w:sz w:val="24"/>
          <w:szCs w:val="24"/>
        </w:rPr>
        <w:t>66</w:t>
      </w:r>
      <w:r>
        <w:rPr>
          <w:rFonts w:ascii="Times New Roman" w:hAnsi="Times New Roman"/>
          <w:color w:val="000000"/>
          <w:sz w:val="24"/>
          <w:szCs w:val="24"/>
          <w:u w:val="single"/>
        </w:rPr>
        <w:t>+</w:t>
      </w:r>
      <w:r>
        <w:rPr>
          <w:rFonts w:ascii="Times New Roman" w:hAnsi="Times New Roman"/>
          <w:color w:val="000000"/>
          <w:sz w:val="24"/>
          <w:szCs w:val="24"/>
        </w:rPr>
        <w:t>6</w:t>
      </w:r>
      <w:r>
        <w:rPr>
          <w:rFonts w:hint="eastAsia" w:ascii="宋体" w:hAnsi="宋体"/>
          <w:color w:val="000000"/>
          <w:sz w:val="24"/>
          <w:szCs w:val="24"/>
        </w:rPr>
        <w:t>h,对照组为</w:t>
      </w:r>
      <w:r>
        <w:rPr>
          <w:rFonts w:ascii="Times New Roman" w:hAnsi="Times New Roman"/>
          <w:color w:val="000000"/>
          <w:sz w:val="24"/>
          <w:szCs w:val="24"/>
        </w:rPr>
        <w:t>120</w:t>
      </w:r>
      <w:r>
        <w:rPr>
          <w:rFonts w:ascii="Times New Roman" w:hAnsi="Times New Roman"/>
          <w:color w:val="000000"/>
          <w:sz w:val="24"/>
          <w:szCs w:val="24"/>
          <w:u w:val="single"/>
        </w:rPr>
        <w:t>+</w:t>
      </w:r>
      <w:r>
        <w:rPr>
          <w:rFonts w:ascii="Times New Roman" w:hAnsi="Times New Roman"/>
          <w:color w:val="000000"/>
          <w:sz w:val="24"/>
          <w:szCs w:val="24"/>
        </w:rPr>
        <w:t>8</w:t>
      </w:r>
      <w:r>
        <w:rPr>
          <w:rFonts w:hint="eastAsia" w:ascii="宋体" w:hAnsi="宋体"/>
          <w:color w:val="000000"/>
          <w:sz w:val="24"/>
          <w:szCs w:val="24"/>
        </w:rPr>
        <w:t>h,组间比较，</w:t>
      </w:r>
      <w:r>
        <w:rPr>
          <w:rFonts w:ascii="Times New Roman" w:hAnsi="Times New Roman"/>
          <w:color w:val="000000"/>
          <w:sz w:val="24"/>
          <w:szCs w:val="24"/>
        </w:rPr>
        <w:t>t=64.84</w:t>
      </w:r>
      <w:r>
        <w:rPr>
          <w:rFonts w:hint="eastAsia" w:ascii="宋体" w:hAnsi="宋体"/>
          <w:color w:val="000000"/>
          <w:sz w:val="24"/>
          <w:szCs w:val="24"/>
        </w:rPr>
        <w:t>，</w:t>
      </w:r>
      <w:r>
        <w:rPr>
          <w:rFonts w:ascii="Times New Roman" w:hAnsi="Times New Roman"/>
          <w:color w:val="000000"/>
          <w:sz w:val="24"/>
          <w:szCs w:val="24"/>
        </w:rPr>
        <w:t>p＜0.001</w:t>
      </w:r>
      <w:r>
        <w:rPr>
          <w:rFonts w:hint="eastAsia" w:ascii="宋体" w:hAnsi="宋体"/>
          <w:color w:val="000000"/>
          <w:sz w:val="24"/>
          <w:szCs w:val="24"/>
        </w:rPr>
        <w:t>。</w:t>
      </w:r>
      <w:r>
        <w:rPr>
          <w:rFonts w:hint="eastAsia" w:ascii="宋体" w:hAnsi="宋体"/>
          <w:color w:val="000000"/>
          <w:sz w:val="24"/>
          <w:szCs w:val="24"/>
        </w:rPr>
        <w:fldChar w:fldCharType="begin"/>
      </w:r>
      <w:r>
        <w:rPr>
          <w:rFonts w:hint="eastAsia" w:ascii="宋体" w:hAnsi="宋体"/>
          <w:color w:val="000000"/>
          <w:sz w:val="24"/>
          <w:szCs w:val="24"/>
        </w:rPr>
        <w:instrText xml:space="preserve"> = 4 \* GB2 </w:instrText>
      </w:r>
      <w:r>
        <w:rPr>
          <w:rFonts w:ascii="宋体" w:hAnsi="宋体"/>
          <w:color w:val="000000"/>
          <w:sz w:val="24"/>
          <w:szCs w:val="24"/>
        </w:rPr>
        <w:fldChar w:fldCharType="separate"/>
      </w:r>
      <w:r>
        <w:rPr>
          <w:rFonts w:hint="eastAsia" w:ascii="宋体" w:hAnsi="宋体"/>
          <w:color w:val="000000"/>
          <w:sz w:val="24"/>
          <w:szCs w:val="24"/>
        </w:rPr>
        <w:t>⑷</w:t>
      </w:r>
      <w:r>
        <w:rPr>
          <w:rFonts w:hint="eastAsia" w:ascii="宋体" w:hAnsi="宋体"/>
          <w:color w:val="000000"/>
          <w:sz w:val="24"/>
          <w:szCs w:val="24"/>
        </w:rPr>
        <w:fldChar w:fldCharType="end"/>
      </w:r>
      <w:r>
        <w:rPr>
          <w:rFonts w:hint="eastAsia" w:ascii="宋体" w:hAnsi="宋体"/>
          <w:color w:val="000000"/>
          <w:sz w:val="24"/>
          <w:szCs w:val="24"/>
        </w:rPr>
        <w:t>在病情稳定时间比较，治疗组为</w:t>
      </w:r>
      <w:r>
        <w:rPr>
          <w:rFonts w:ascii="Times New Roman" w:hAnsi="Times New Roman"/>
          <w:color w:val="000000"/>
          <w:sz w:val="24"/>
          <w:szCs w:val="24"/>
        </w:rPr>
        <w:t>96</w:t>
      </w:r>
      <w:r>
        <w:rPr>
          <w:rFonts w:ascii="Times New Roman" w:hAnsi="Times New Roman"/>
          <w:color w:val="000000"/>
          <w:sz w:val="24"/>
          <w:szCs w:val="24"/>
          <w:u w:val="single"/>
        </w:rPr>
        <w:t>+</w:t>
      </w:r>
      <w:r>
        <w:rPr>
          <w:rFonts w:ascii="Times New Roman" w:hAnsi="Times New Roman"/>
          <w:color w:val="000000"/>
          <w:sz w:val="24"/>
          <w:szCs w:val="24"/>
        </w:rPr>
        <w:t>6</w:t>
      </w:r>
      <w:r>
        <w:rPr>
          <w:rFonts w:hint="eastAsia" w:ascii="宋体" w:hAnsi="宋体"/>
          <w:color w:val="000000"/>
          <w:sz w:val="24"/>
          <w:szCs w:val="24"/>
        </w:rPr>
        <w:t>h，对照组为</w:t>
      </w:r>
      <w:r>
        <w:rPr>
          <w:rFonts w:ascii="Times New Roman" w:hAnsi="Times New Roman"/>
          <w:color w:val="000000"/>
          <w:sz w:val="24"/>
          <w:szCs w:val="24"/>
        </w:rPr>
        <w:t>144h</w:t>
      </w:r>
      <w:r>
        <w:rPr>
          <w:rFonts w:ascii="Times New Roman" w:hAnsi="Times New Roman"/>
          <w:color w:val="000000"/>
          <w:sz w:val="24"/>
          <w:szCs w:val="24"/>
          <w:u w:val="single"/>
        </w:rPr>
        <w:t>+</w:t>
      </w:r>
      <w:r>
        <w:rPr>
          <w:rFonts w:ascii="Times New Roman" w:hAnsi="Times New Roman"/>
          <w:color w:val="000000"/>
          <w:sz w:val="24"/>
          <w:szCs w:val="24"/>
        </w:rPr>
        <w:t>6</w:t>
      </w:r>
      <w:r>
        <w:rPr>
          <w:rFonts w:hint="eastAsia" w:ascii="宋体" w:hAnsi="宋体"/>
          <w:color w:val="000000"/>
          <w:sz w:val="24"/>
          <w:szCs w:val="24"/>
        </w:rPr>
        <w:t>h，组间比较，</w:t>
      </w:r>
      <w:r>
        <w:rPr>
          <w:rFonts w:ascii="Times New Roman" w:hAnsi="Times New Roman"/>
          <w:color w:val="000000"/>
          <w:sz w:val="24"/>
          <w:szCs w:val="24"/>
        </w:rPr>
        <w:t>t=94.93</w:t>
      </w:r>
      <w:r>
        <w:rPr>
          <w:rFonts w:hint="eastAsia" w:ascii="宋体" w:hAnsi="宋体"/>
          <w:color w:val="000000"/>
          <w:sz w:val="24"/>
          <w:szCs w:val="24"/>
        </w:rPr>
        <w:t>，</w:t>
      </w:r>
      <w:r>
        <w:rPr>
          <w:rFonts w:ascii="Times New Roman" w:hAnsi="Times New Roman"/>
          <w:color w:val="000000"/>
          <w:sz w:val="24"/>
          <w:szCs w:val="24"/>
        </w:rPr>
        <w:t>p＜0.001</w:t>
      </w:r>
      <w:r>
        <w:rPr>
          <w:rFonts w:hint="eastAsia" w:ascii="宋体" w:hAnsi="宋体"/>
          <w:color w:val="000000"/>
          <w:sz w:val="24"/>
          <w:szCs w:val="24"/>
        </w:rPr>
        <w:t>。</w:t>
      </w:r>
      <w:r>
        <w:rPr>
          <w:rFonts w:hint="eastAsia" w:ascii="宋体" w:hAnsi="宋体"/>
          <w:color w:val="000000"/>
          <w:sz w:val="24"/>
          <w:szCs w:val="24"/>
        </w:rPr>
        <w:fldChar w:fldCharType="begin"/>
      </w:r>
      <w:r>
        <w:rPr>
          <w:rFonts w:hint="eastAsia" w:ascii="宋体" w:hAnsi="宋体"/>
          <w:color w:val="000000"/>
          <w:sz w:val="24"/>
          <w:szCs w:val="24"/>
        </w:rPr>
        <w:instrText xml:space="preserve"> = 5 \* GB2 </w:instrText>
      </w:r>
      <w:r>
        <w:rPr>
          <w:rFonts w:ascii="宋体" w:hAnsi="宋体"/>
          <w:color w:val="000000"/>
          <w:sz w:val="24"/>
          <w:szCs w:val="24"/>
        </w:rPr>
        <w:fldChar w:fldCharType="separate"/>
      </w:r>
      <w:r>
        <w:rPr>
          <w:rFonts w:hint="eastAsia" w:ascii="宋体" w:hAnsi="宋体"/>
          <w:color w:val="000000"/>
          <w:sz w:val="24"/>
          <w:szCs w:val="24"/>
        </w:rPr>
        <w:t>⑸</w:t>
      </w:r>
      <w:r>
        <w:rPr>
          <w:rFonts w:hint="eastAsia" w:ascii="宋体" w:hAnsi="宋体"/>
          <w:color w:val="000000"/>
          <w:sz w:val="24"/>
          <w:szCs w:val="24"/>
        </w:rPr>
        <w:fldChar w:fldCharType="end"/>
      </w:r>
      <w:r>
        <w:rPr>
          <w:rFonts w:hint="eastAsia" w:ascii="宋体" w:hAnsi="宋体"/>
          <w:color w:val="000000"/>
          <w:sz w:val="24"/>
          <w:szCs w:val="24"/>
        </w:rPr>
        <w:t>.两组在平均住院时间方面比较，治疗组平均为</w:t>
      </w:r>
      <w:r>
        <w:rPr>
          <w:rFonts w:ascii="Times New Roman" w:hAnsi="Times New Roman"/>
          <w:color w:val="000000"/>
          <w:sz w:val="24"/>
          <w:szCs w:val="24"/>
        </w:rPr>
        <w:t>144h</w:t>
      </w:r>
      <w:r>
        <w:rPr>
          <w:rFonts w:hint="eastAsia" w:ascii="宋体" w:hAnsi="宋体"/>
          <w:color w:val="000000"/>
          <w:sz w:val="24"/>
          <w:szCs w:val="24"/>
        </w:rPr>
        <w:t>（</w:t>
      </w:r>
      <w:r>
        <w:rPr>
          <w:rFonts w:ascii="Times New Roman" w:hAnsi="Times New Roman"/>
          <w:color w:val="000000"/>
          <w:sz w:val="24"/>
          <w:szCs w:val="24"/>
        </w:rPr>
        <w:t>6</w:t>
      </w:r>
      <w:r>
        <w:rPr>
          <w:rFonts w:hint="eastAsia" w:ascii="宋体" w:hAnsi="宋体"/>
          <w:color w:val="000000"/>
          <w:sz w:val="24"/>
          <w:szCs w:val="24"/>
        </w:rPr>
        <w:t>天）</w:t>
      </w:r>
      <w:r>
        <w:rPr>
          <w:rFonts w:hint="eastAsia" w:ascii="宋体" w:hAnsi="宋体"/>
          <w:color w:val="000000"/>
          <w:sz w:val="24"/>
          <w:szCs w:val="24"/>
          <w:u w:val="single"/>
        </w:rPr>
        <w:t>+</w:t>
      </w:r>
      <w:r>
        <w:rPr>
          <w:rFonts w:ascii="Times New Roman" w:hAnsi="Times New Roman"/>
          <w:color w:val="000000"/>
          <w:sz w:val="24"/>
          <w:szCs w:val="24"/>
        </w:rPr>
        <w:t>8h</w:t>
      </w:r>
      <w:r>
        <w:rPr>
          <w:rFonts w:hint="eastAsia" w:ascii="宋体" w:hAnsi="宋体"/>
          <w:color w:val="000000"/>
          <w:sz w:val="24"/>
          <w:szCs w:val="24"/>
        </w:rPr>
        <w:t>治愈出院，对照组</w:t>
      </w:r>
      <w:r>
        <w:rPr>
          <w:rFonts w:ascii="Times New Roman" w:hAnsi="Times New Roman"/>
          <w:color w:val="000000"/>
          <w:sz w:val="24"/>
          <w:szCs w:val="24"/>
        </w:rPr>
        <w:t>2</w:t>
      </w:r>
      <w:r>
        <w:rPr>
          <w:rFonts w:hint="eastAsia" w:ascii="宋体" w:hAnsi="宋体"/>
          <w:color w:val="000000"/>
          <w:sz w:val="24"/>
          <w:szCs w:val="24"/>
        </w:rPr>
        <w:t>例死亡除外，平均住院时间为</w:t>
      </w:r>
      <w:r>
        <w:rPr>
          <w:rFonts w:ascii="Times New Roman" w:hAnsi="Times New Roman"/>
          <w:color w:val="000000"/>
          <w:sz w:val="24"/>
          <w:szCs w:val="24"/>
        </w:rPr>
        <w:t>240h</w:t>
      </w:r>
      <w:r>
        <w:rPr>
          <w:rFonts w:hint="eastAsia" w:ascii="宋体" w:hAnsi="宋体"/>
          <w:color w:val="000000"/>
          <w:sz w:val="24"/>
          <w:szCs w:val="24"/>
        </w:rPr>
        <w:t>（</w:t>
      </w:r>
      <w:r>
        <w:rPr>
          <w:rFonts w:ascii="Times New Roman" w:hAnsi="Times New Roman"/>
          <w:color w:val="000000"/>
          <w:sz w:val="24"/>
          <w:szCs w:val="24"/>
        </w:rPr>
        <w:t>10</w:t>
      </w:r>
      <w:r>
        <w:rPr>
          <w:rFonts w:hint="eastAsia" w:ascii="宋体" w:hAnsi="宋体"/>
          <w:color w:val="000000"/>
          <w:sz w:val="24"/>
          <w:szCs w:val="24"/>
        </w:rPr>
        <w:t>天）</w:t>
      </w:r>
      <w:r>
        <w:rPr>
          <w:rFonts w:hint="eastAsia" w:ascii="宋体" w:hAnsi="宋体"/>
          <w:color w:val="000000"/>
          <w:sz w:val="24"/>
          <w:szCs w:val="24"/>
          <w:u w:val="single"/>
        </w:rPr>
        <w:t>+</w:t>
      </w:r>
      <w:r>
        <w:rPr>
          <w:rFonts w:hint="eastAsia" w:ascii="Times New Roman" w:hAnsi="Times New Roman"/>
          <w:color w:val="000000"/>
          <w:sz w:val="24"/>
          <w:szCs w:val="24"/>
        </w:rPr>
        <w:t>10</w:t>
      </w:r>
      <w:r>
        <w:rPr>
          <w:rFonts w:hint="eastAsia" w:ascii="宋体" w:hAnsi="宋体"/>
          <w:color w:val="000000"/>
          <w:sz w:val="24"/>
          <w:szCs w:val="24"/>
        </w:rPr>
        <w:t>h治愈出院。组间比较，</w:t>
      </w:r>
      <w:r>
        <w:rPr>
          <w:rFonts w:ascii="Times New Roman" w:hAnsi="Times New Roman"/>
          <w:color w:val="000000"/>
          <w:sz w:val="24"/>
          <w:szCs w:val="24"/>
        </w:rPr>
        <w:t>t=83.47</w:t>
      </w:r>
      <w:r>
        <w:rPr>
          <w:rFonts w:hint="eastAsia" w:ascii="宋体" w:hAnsi="宋体"/>
          <w:color w:val="000000"/>
          <w:sz w:val="24"/>
          <w:szCs w:val="24"/>
        </w:rPr>
        <w:t>，</w:t>
      </w:r>
      <w:r>
        <w:rPr>
          <w:rFonts w:ascii="Times New Roman" w:hAnsi="Times New Roman"/>
          <w:color w:val="000000"/>
          <w:sz w:val="24"/>
          <w:szCs w:val="24"/>
        </w:rPr>
        <w:t>p＜0.001</w:t>
      </w:r>
      <w:r>
        <w:rPr>
          <w:rFonts w:hint="eastAsia" w:ascii="宋体" w:hAnsi="宋体"/>
          <w:color w:val="000000"/>
          <w:sz w:val="24"/>
          <w:szCs w:val="24"/>
        </w:rPr>
        <w:t>。</w:t>
      </w:r>
    </w:p>
    <w:p>
      <w:pPr>
        <w:numPr>
          <w:numId w:val="0"/>
        </w:numPr>
        <w:autoSpaceDE w:val="0"/>
        <w:autoSpaceDN w:val="0"/>
        <w:adjustRightInd w:val="0"/>
        <w:spacing w:line="360" w:lineRule="auto"/>
        <w:jc w:val="left"/>
        <w:rPr>
          <w:rFonts w:hint="eastAsia" w:ascii="宋体" w:hAnsi="宋体"/>
          <w:color w:val="000000"/>
          <w:sz w:val="24"/>
          <w:szCs w:val="24"/>
        </w:rPr>
      </w:pPr>
      <w:r>
        <w:rPr>
          <w:rFonts w:hint="eastAsia" w:ascii="宋体" w:hAnsi="宋体"/>
          <w:b/>
          <w:color w:val="000000"/>
          <w:sz w:val="24"/>
          <w:szCs w:val="24"/>
          <w:lang w:val="en-US" w:eastAsia="zh-CN"/>
        </w:rPr>
        <w:t xml:space="preserve">    </w:t>
      </w:r>
      <w:r>
        <w:rPr>
          <w:rFonts w:hint="eastAsia" w:ascii="宋体" w:hAnsi="宋体"/>
          <w:b/>
          <w:color w:val="000000"/>
          <w:sz w:val="24"/>
          <w:szCs w:val="24"/>
        </w:rPr>
        <w:t>结论</w:t>
      </w:r>
      <w:r>
        <w:rPr>
          <w:rFonts w:hint="eastAsia" w:ascii="宋体" w:hAnsi="宋体"/>
          <w:color w:val="000000"/>
          <w:sz w:val="24"/>
          <w:szCs w:val="24"/>
        </w:rPr>
        <w:t xml:space="preserve"> </w:t>
      </w:r>
    </w:p>
    <w:p>
      <w:pPr>
        <w:numPr>
          <w:numId w:val="0"/>
        </w:numPr>
        <w:autoSpaceDE w:val="0"/>
        <w:autoSpaceDN w:val="0"/>
        <w:adjustRightInd w:val="0"/>
        <w:spacing w:line="360" w:lineRule="auto"/>
        <w:jc w:val="left"/>
        <w:rPr>
          <w:rFonts w:hint="eastAsia" w:ascii="宋体" w:hAnsi="宋体"/>
          <w:color w:val="000000"/>
          <w:sz w:val="24"/>
          <w:szCs w:val="24"/>
        </w:rPr>
      </w:pPr>
      <w:r>
        <w:rPr>
          <w:rFonts w:hint="eastAsia" w:ascii="宋体" w:hAnsi="宋体"/>
          <w:color w:val="000000"/>
          <w:sz w:val="24"/>
          <w:szCs w:val="24"/>
          <w:lang w:val="en-US" w:eastAsia="zh-CN"/>
        </w:rPr>
        <w:t xml:space="preserve">    </w:t>
      </w:r>
      <w:bookmarkStart w:id="0" w:name="_GoBack"/>
      <w:bookmarkEnd w:id="0"/>
      <w:r>
        <w:rPr>
          <w:rFonts w:hint="eastAsia" w:ascii="宋体" w:hAnsi="宋体"/>
          <w:color w:val="000000"/>
          <w:sz w:val="24"/>
          <w:szCs w:val="24"/>
        </w:rPr>
        <w:t>对于新生儿重症感染性肺炎在治疗初始阶段，选用抗生素降阶梯疗法是积极有效的，碳青霉烯类药物是有效的、安全的，未见明显副作用；据统计显示在降阶梯疗法中合理使用抗生素，缩短新生儿住院天数，加快临床表现消失时间，降低二重感染可能性，提高新生儿生存率，降低新生儿死亡率，因此在新生儿临床值得推广和应用的。</w:t>
      </w:r>
    </w:p>
    <w:p>
      <w:pPr>
        <w:autoSpaceDE w:val="0"/>
        <w:autoSpaceDN w:val="0"/>
        <w:adjustRightInd w:val="0"/>
        <w:spacing w:line="360" w:lineRule="auto"/>
        <w:jc w:val="left"/>
        <w:rPr>
          <w:rFonts w:hint="eastAsia" w:ascii="宋体" w:hAnsi="宋体"/>
          <w:color w:val="000000"/>
          <w:sz w:val="24"/>
          <w:szCs w:val="24"/>
        </w:rPr>
      </w:pPr>
      <w:r>
        <w:rPr>
          <w:rFonts w:hint="eastAsia" w:ascii="宋体" w:hAnsi="宋体"/>
          <w:b/>
          <w:color w:val="000000"/>
          <w:sz w:val="28"/>
          <w:szCs w:val="28"/>
          <w:lang w:val="en-US" w:eastAsia="zh-CN"/>
        </w:rPr>
        <w:t xml:space="preserve">   </w:t>
      </w:r>
      <w:r>
        <w:rPr>
          <w:rFonts w:hint="eastAsia" w:ascii="黑体" w:hAnsi="黑体" w:eastAsia="黑体" w:cs="黑体"/>
          <w:b w:val="0"/>
          <w:bCs/>
          <w:color w:val="000000"/>
          <w:sz w:val="24"/>
          <w:szCs w:val="24"/>
        </w:rPr>
        <w:t>关键词</w:t>
      </w:r>
      <w:r>
        <w:rPr>
          <w:rFonts w:hint="eastAsia" w:ascii="宋体" w:hAnsi="宋体"/>
          <w:b/>
          <w:color w:val="000000"/>
          <w:sz w:val="28"/>
          <w:szCs w:val="28"/>
          <w:lang w:val="en-US" w:eastAsia="zh-CN"/>
        </w:rPr>
        <w:t xml:space="preserve"> </w:t>
      </w:r>
      <w:r>
        <w:rPr>
          <w:rFonts w:hint="eastAsia" w:ascii="宋体" w:hAnsi="宋体"/>
          <w:color w:val="000000"/>
          <w:sz w:val="24"/>
          <w:szCs w:val="24"/>
        </w:rPr>
        <w:t>新生儿重症肺炎 ；降阶梯疗法； 抗生素；碳青霉烯类</w:t>
      </w:r>
    </w:p>
    <w:p>
      <w:pPr>
        <w:spacing w:line="360" w:lineRule="auto"/>
        <w:rPr>
          <w:rFonts w:hint="eastAsia" w:ascii="宋体" w:hAnsi="宋体"/>
          <w:b/>
          <w:color w:val="000000"/>
          <w:sz w:val="24"/>
          <w:szCs w:val="24"/>
        </w:rPr>
      </w:pPr>
    </w:p>
    <w:p>
      <w:pPr>
        <w:spacing w:line="360" w:lineRule="auto"/>
        <w:rPr>
          <w:rFonts w:hint="eastAsia" w:ascii="宋体" w:hAnsi="宋体"/>
          <w:b/>
          <w:color w:val="000000"/>
          <w:sz w:val="24"/>
          <w:szCs w:val="24"/>
        </w:rPr>
      </w:pPr>
    </w:p>
    <w:p>
      <w:pPr>
        <w:spacing w:line="360" w:lineRule="auto"/>
      </w:pPr>
    </w:p>
    <w:sectPr>
      <w:pgSz w:w="11906" w:h="16838"/>
      <w:pgMar w:top="1984" w:right="1417" w:bottom="198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2943797">
    <w:nsid w:val="5732C035"/>
    <w:multiLevelType w:val="singleLevel"/>
    <w:tmpl w:val="5732C035"/>
    <w:lvl w:ilvl="0" w:tentative="1">
      <w:start w:val="3"/>
      <w:numFmt w:val="decimal"/>
      <w:suff w:val="nothing"/>
      <w:lvlText w:val="%1、"/>
      <w:lvlJc w:val="left"/>
    </w:lvl>
  </w:abstractNum>
  <w:num w:numId="1">
    <w:abstractNumId w:val="146294379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9DA"/>
    <w:rsid w:val="006056A5"/>
    <w:rsid w:val="00A252E0"/>
    <w:rsid w:val="00AC49DA"/>
    <w:rsid w:val="00B07693"/>
    <w:rsid w:val="00D37050"/>
    <w:rsid w:val="06E87DB2"/>
    <w:rsid w:val="304C4CA7"/>
    <w:rsid w:val="39B5301A"/>
    <w:rsid w:val="40720A87"/>
    <w:rsid w:val="4FEB2EE7"/>
    <w:rsid w:val="5CC927E7"/>
    <w:rsid w:val="64551CE8"/>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 w:type="paragraph" w:customStyle="1" w:styleId="8">
    <w:name w:val="_Style 28"/>
    <w:basedOn w:val="1"/>
    <w:next w:val="1"/>
    <w:qFormat/>
    <w:uiPriority w:val="0"/>
    <w:pPr>
      <w:pBdr>
        <w:bottom w:val="single" w:color="auto" w:sz="6" w:space="1"/>
      </w:pBdr>
      <w:jc w:val="center"/>
    </w:pPr>
    <w:rPr>
      <w:rFonts w:ascii="Arial" w:hAnsi="Calibri" w:eastAsia="宋体" w:cs="Times New Roman"/>
      <w:vanish/>
      <w:sz w:val="16"/>
    </w:rPr>
  </w:style>
  <w:style w:type="paragraph" w:customStyle="1" w:styleId="9">
    <w:name w:val="_Style 29"/>
    <w:basedOn w:val="1"/>
    <w:next w:val="1"/>
    <w:qFormat/>
    <w:uiPriority w:val="0"/>
    <w:pPr>
      <w:pBdr>
        <w:top w:val="single" w:color="auto" w:sz="6" w:space="1"/>
      </w:pBdr>
      <w:jc w:val="center"/>
    </w:pPr>
    <w:rPr>
      <w:rFonts w:ascii="Arial" w:hAnsi="Calibri" w:eastAsia="宋体" w:cs="Times New Roman"/>
      <w:vanish/>
      <w:sz w:val="16"/>
    </w:rPr>
  </w:style>
  <w:style w:type="paragraph" w:customStyle="1" w:styleId="10">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1182</Words>
  <Characters>6744</Characters>
  <Lines>56</Lines>
  <Paragraphs>15</Paragraphs>
  <ScaleCrop>false</ScaleCrop>
  <LinksUpToDate>false</LinksUpToDate>
  <CharactersWithSpaces>7911</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2016-05-06T00:58:00Z</dcterms:created>
  <dc:creator>lenovo</dc:creator>
  <cp:lastModifiedBy>Administrator</cp:lastModifiedBy>
  <dcterms:modified xsi:type="dcterms:W3CDTF">2016-05-11T05:14:57Z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