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维持性血液透析患者钙磷代谢特点分析</w:t>
      </w:r>
    </w:p>
    <w:p>
      <w:pPr>
        <w:pStyle w:val="12"/>
        <w:spacing w:line="400" w:lineRule="exact"/>
        <w:jc w:val="center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研 究 生：</w:t>
      </w:r>
      <w:r>
        <w:rPr>
          <w:rFonts w:hint="eastAsia" w:ascii="宋体" w:hAnsi="宋体"/>
          <w:bCs/>
          <w:sz w:val="24"/>
          <w:szCs w:val="24"/>
          <w:lang w:eastAsia="zh-CN"/>
        </w:rPr>
        <w:t>魏丽</w:t>
      </w:r>
      <w:r>
        <w:rPr>
          <w:rFonts w:hint="eastAsia" w:ascii="宋体" w:hAnsi="宋体"/>
          <w:bCs/>
          <w:sz w:val="24"/>
          <w:szCs w:val="24"/>
        </w:rPr>
        <w:t xml:space="preserve">           </w:t>
      </w:r>
    </w:p>
    <w:p>
      <w:pPr>
        <w:jc w:val="center"/>
        <w:rPr>
          <w:rFonts w:hint="eastAsia" w:ascii="宋体" w:hAnsi="宋体"/>
          <w:bCs/>
          <w:sz w:val="24"/>
          <w:szCs w:val="24"/>
          <w:lang w:eastAsia="zh-CN"/>
        </w:rPr>
      </w:pPr>
      <w:r>
        <w:rPr>
          <w:rFonts w:hint="eastAsia" w:ascii="宋体" w:hAnsi="宋体"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bCs/>
          <w:sz w:val="24"/>
          <w:szCs w:val="24"/>
        </w:rPr>
        <w:t>指导教师：</w:t>
      </w:r>
      <w:r>
        <w:rPr>
          <w:rFonts w:hint="eastAsia" w:ascii="宋体" w:hAnsi="宋体"/>
          <w:bCs/>
          <w:sz w:val="24"/>
          <w:szCs w:val="24"/>
          <w:lang w:eastAsia="zh-CN"/>
        </w:rPr>
        <w:t>魏崇一</w:t>
      </w:r>
    </w:p>
    <w:p>
      <w:pPr>
        <w:jc w:val="center"/>
        <w:rPr>
          <w:rFonts w:hint="eastAsia" w:ascii="黑体" w:hAnsi="黑体" w:eastAsia="黑体"/>
          <w:b w:val="0"/>
          <w:bCs/>
          <w:color w:val="000000"/>
          <w:sz w:val="30"/>
          <w:szCs w:val="30"/>
        </w:rPr>
      </w:pPr>
      <w:r>
        <w:rPr>
          <w:rFonts w:hint="eastAsia" w:ascii="黑体" w:hAnsi="黑体" w:eastAsia="黑体"/>
          <w:b w:val="0"/>
          <w:bCs/>
          <w:color w:val="000000"/>
          <w:sz w:val="30"/>
          <w:szCs w:val="30"/>
        </w:rPr>
        <w:t>摘  要</w:t>
      </w:r>
    </w:p>
    <w:p>
      <w:pPr>
        <w:spacing w:line="360" w:lineRule="auto"/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color w:val="00000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</w:rPr>
        <w:t>背景</w:t>
      </w:r>
    </w:p>
    <w:p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sz w:val="24"/>
        </w:rPr>
        <w:t>血液透析是目前治疗终末期肾衰竭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(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End stage renal disease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>,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ESRD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)</w:t>
      </w:r>
      <w:r>
        <w:rPr>
          <w:rFonts w:hint="eastAsia" w:ascii="宋体" w:hAnsi="宋体" w:cs="宋体"/>
          <w:color w:val="000000"/>
          <w:sz w:val="24"/>
        </w:rPr>
        <w:t>的主要手段，能够显著提高患者的生活质量，延长生存时间。但仍然不可避免的</w:t>
      </w:r>
      <w:r>
        <w:rPr>
          <w:rFonts w:hint="eastAsia" w:ascii="宋体" w:hAnsi="宋体" w:cs="宋体"/>
          <w:color w:val="000000"/>
          <w:sz w:val="24"/>
          <w:lang w:eastAsia="zh-CN"/>
        </w:rPr>
        <w:t>存在</w:t>
      </w:r>
      <w:r>
        <w:rPr>
          <w:rFonts w:hint="eastAsia" w:ascii="宋体" w:hAnsi="宋体" w:cs="宋体"/>
          <w:color w:val="000000"/>
          <w:sz w:val="24"/>
        </w:rPr>
        <w:t>各种各样的远期并发症</w:t>
      </w:r>
      <w:r>
        <w:rPr>
          <w:rFonts w:hint="eastAsia" w:ascii="宋体" w:hAnsi="宋体" w:cs="宋体"/>
          <w:color w:val="000000"/>
          <w:sz w:val="24"/>
          <w:lang w:eastAsia="zh-CN"/>
        </w:rPr>
        <w:t>。</w:t>
      </w:r>
      <w:r>
        <w:rPr>
          <w:rFonts w:hint="eastAsia" w:ascii="宋体" w:hAnsi="宋体" w:cs="宋体"/>
          <w:color w:val="000000"/>
          <w:sz w:val="24"/>
        </w:rPr>
        <w:t>心血管疾病是维持性血液透析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(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Maintenance hemodialysis</w:t>
      </w:r>
      <w:r>
        <w:rPr>
          <w:rFonts w:hint="eastAsia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>,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MHD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)</w:t>
      </w:r>
      <w:r>
        <w:rPr>
          <w:rFonts w:hint="eastAsia" w:ascii="宋体" w:hAnsi="宋体" w:cs="宋体"/>
          <w:color w:val="000000"/>
          <w:sz w:val="24"/>
        </w:rPr>
        <w:t>患者的常见并发症及主要死亡原因</w:t>
      </w:r>
      <w:r>
        <w:rPr>
          <w:rFonts w:hint="eastAsia" w:ascii="宋体" w:hAnsi="宋体" w:cs="宋体"/>
          <w:color w:val="000000"/>
          <w:sz w:val="24"/>
          <w:vertAlign w:val="superscript"/>
        </w:rPr>
        <w:t>[1-2]</w:t>
      </w:r>
      <w:r>
        <w:rPr>
          <w:rFonts w:hint="eastAsia" w:ascii="宋体" w:hAnsi="宋体" w:cs="宋体"/>
          <w:color w:val="000000"/>
          <w:sz w:val="24"/>
        </w:rPr>
        <w:t>。血管钙化是预测</w:t>
      </w:r>
      <w:r>
        <w:rPr>
          <w:rFonts w:hint="default" w:ascii="Times New Roman" w:hAnsi="Times New Roman" w:cs="Times New Roman"/>
          <w:color w:val="000000"/>
          <w:sz w:val="24"/>
        </w:rPr>
        <w:t>MHD</w:t>
      </w:r>
      <w:r>
        <w:rPr>
          <w:rFonts w:hint="eastAsia" w:ascii="宋体" w:hAnsi="宋体" w:cs="宋体"/>
          <w:color w:val="000000"/>
          <w:sz w:val="24"/>
        </w:rPr>
        <w:t>患者心血管并发症发生的重要指标，而钙磷代谢紊乱与血管钙化密切相关。透析预后与实践模式研究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(</w:t>
      </w:r>
      <w:r>
        <w:rPr>
          <w:rStyle w:val="5"/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</w:rPr>
        <w:t xml:space="preserve">Dialysis </w:t>
      </w:r>
      <w:r>
        <w:rPr>
          <w:rStyle w:val="5"/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  <w:lang w:val="en-US" w:eastAsia="zh-CN"/>
        </w:rPr>
        <w:t>o</w:t>
      </w:r>
      <w:r>
        <w:rPr>
          <w:rStyle w:val="5"/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</w:rPr>
        <w:t xml:space="preserve">utcomes and </w:t>
      </w:r>
      <w:r>
        <w:rPr>
          <w:rStyle w:val="5"/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  <w:lang w:val="en-US" w:eastAsia="zh-CN"/>
        </w:rPr>
        <w:t>p</w:t>
      </w:r>
      <w:r>
        <w:rPr>
          <w:rStyle w:val="5"/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</w:rPr>
        <w:t xml:space="preserve">ractice </w:t>
      </w:r>
      <w:r>
        <w:rPr>
          <w:rStyle w:val="5"/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  <w:lang w:val="en-US" w:eastAsia="zh-CN"/>
        </w:rPr>
        <w:t>p</w:t>
      </w:r>
      <w:r>
        <w:rPr>
          <w:rStyle w:val="5"/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</w:rPr>
        <w:t xml:space="preserve">atterns </w:t>
      </w:r>
      <w:r>
        <w:rPr>
          <w:rStyle w:val="5"/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  <w:lang w:val="en-US" w:eastAsia="zh-CN"/>
        </w:rPr>
        <w:t>s</w:t>
      </w:r>
      <w:r>
        <w:rPr>
          <w:rStyle w:val="5"/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</w:rPr>
        <w:t>tudy</w:t>
      </w:r>
      <w:r>
        <w:rPr>
          <w:rStyle w:val="5"/>
          <w:rFonts w:hint="eastAsia"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  <w:lang w:val="en-US" w:eastAsia="zh-CN"/>
        </w:rPr>
        <w:t>,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>DOPPS</w:t>
      </w:r>
      <w:r>
        <w:rPr>
          <w:rFonts w:hint="eastAsia" w:ascii="Times New Roman" w:hAnsi="Times New Roman" w:cs="Times New Roman"/>
          <w:b w:val="0"/>
          <w:bCs w:val="0"/>
          <w:color w:val="000000"/>
          <w:sz w:val="24"/>
          <w:szCs w:val="24"/>
          <w:lang w:val="en-US" w:eastAsia="zh-CN"/>
        </w:rPr>
        <w:t>)</w:t>
      </w:r>
      <w:r>
        <w:rPr>
          <w:rFonts w:hint="eastAsia" w:ascii="宋体" w:hAnsi="宋体" w:cs="宋体"/>
          <w:color w:val="000000"/>
          <w:sz w:val="24"/>
        </w:rPr>
        <w:t>显示血液透析患者血清校正钙、磷、全段甲状旁腺素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（Intact parathyroid hormone</w:t>
      </w:r>
      <w:r>
        <w:rPr>
          <w:rFonts w:hint="default" w:ascii="Times New Roman" w:hAnsi="Times New Roman" w:cs="Times New Roman"/>
          <w:color w:val="000000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iPTH）</w:t>
      </w:r>
      <w:r>
        <w:rPr>
          <w:rFonts w:hint="eastAsia" w:ascii="宋体" w:hAnsi="宋体" w:cs="宋体"/>
          <w:color w:val="000000"/>
          <w:sz w:val="24"/>
        </w:rPr>
        <w:t>、钙磷乘积异常发生率高，且达标率普遍偏低</w:t>
      </w:r>
      <w:r>
        <w:rPr>
          <w:rFonts w:hint="eastAsia" w:ascii="宋体" w:hAnsi="宋体" w:cs="宋体"/>
          <w:color w:val="000000"/>
          <w:sz w:val="24"/>
          <w:vertAlign w:val="superscript"/>
        </w:rPr>
        <w:t>[3]</w:t>
      </w:r>
      <w:r>
        <w:rPr>
          <w:rFonts w:hint="eastAsia" w:ascii="宋体" w:hAnsi="宋体" w:cs="宋体"/>
          <w:color w:val="000000"/>
          <w:sz w:val="24"/>
        </w:rPr>
        <w:t>，我国面临的现况更为严峻。</w:t>
      </w:r>
    </w:p>
    <w:p>
      <w:pPr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  <w:r>
        <w:rPr>
          <w:rFonts w:hint="eastAsia" w:ascii="黑体" w:hAnsi="黑体" w:eastAsia="黑体" w:cs="黑体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</w:rPr>
        <w:t>目的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 xml:space="preserve"> </w:t>
      </w:r>
    </w:p>
    <w:p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color w:val="000000"/>
          <w:sz w:val="24"/>
        </w:rPr>
        <w:t>本研究对我院</w:t>
      </w:r>
      <w:r>
        <w:rPr>
          <w:rFonts w:hint="default" w:ascii="Times New Roman" w:hAnsi="Times New Roman" w:cs="Times New Roman"/>
          <w:color w:val="000000"/>
          <w:sz w:val="24"/>
        </w:rPr>
        <w:t>MHD</w:t>
      </w:r>
      <w:r>
        <w:rPr>
          <w:rFonts w:hint="eastAsia" w:ascii="宋体" w:hAnsi="宋体" w:cs="宋体"/>
          <w:color w:val="000000"/>
          <w:sz w:val="24"/>
        </w:rPr>
        <w:t>患者采取横断面调查，了解新乡市第一人民医院</w:t>
      </w:r>
      <w:r>
        <w:rPr>
          <w:rFonts w:hint="default" w:ascii="Times New Roman" w:hAnsi="Times New Roman" w:cs="Times New Roman"/>
          <w:color w:val="000000"/>
          <w:sz w:val="24"/>
        </w:rPr>
        <w:t>MHD</w:t>
      </w:r>
      <w:r>
        <w:rPr>
          <w:rFonts w:hint="eastAsia" w:ascii="宋体" w:hAnsi="宋体" w:cs="宋体"/>
          <w:color w:val="000000"/>
          <w:sz w:val="24"/>
        </w:rPr>
        <w:t>患者钙磷代谢特点并分析其相关影响因素。以便更全面了解该地区</w:t>
      </w:r>
      <w:r>
        <w:rPr>
          <w:rFonts w:hint="default" w:ascii="Times New Roman" w:hAnsi="Times New Roman" w:cs="Times New Roman"/>
          <w:color w:val="000000"/>
          <w:sz w:val="24"/>
          <w:lang w:val="en-US" w:eastAsia="zh-CN"/>
        </w:rPr>
        <w:t>MHD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患者</w:t>
      </w:r>
      <w:r>
        <w:rPr>
          <w:rFonts w:hint="eastAsia" w:ascii="宋体" w:hAnsi="宋体" w:cs="宋体"/>
          <w:color w:val="000000"/>
          <w:sz w:val="24"/>
        </w:rPr>
        <w:t>钙磷代谢现状，</w:t>
      </w:r>
      <w:r>
        <w:rPr>
          <w:rFonts w:hint="eastAsia" w:ascii="宋体" w:hAnsi="宋体" w:cs="宋体"/>
          <w:color w:val="000000"/>
          <w:sz w:val="24"/>
          <w:lang w:eastAsia="zh-CN"/>
        </w:rPr>
        <w:t>进一步</w:t>
      </w:r>
      <w:r>
        <w:rPr>
          <w:rFonts w:hint="eastAsia" w:ascii="宋体" w:hAnsi="宋体" w:cs="宋体"/>
          <w:color w:val="000000"/>
          <w:sz w:val="24"/>
        </w:rPr>
        <w:t>探讨治疗方法，为预防和减少并发症，改善</w:t>
      </w:r>
      <w:r>
        <w:rPr>
          <w:rFonts w:hint="default" w:ascii="Times New Roman" w:hAnsi="Times New Roman" w:cs="Times New Roman"/>
          <w:color w:val="000000"/>
          <w:sz w:val="24"/>
        </w:rPr>
        <w:t>MHD</w:t>
      </w:r>
      <w:r>
        <w:rPr>
          <w:rFonts w:hint="eastAsia" w:ascii="宋体" w:hAnsi="宋体" w:cs="宋体"/>
          <w:color w:val="000000"/>
          <w:sz w:val="24"/>
        </w:rPr>
        <w:t>患者的预后和提高患者生活质量提供</w:t>
      </w:r>
      <w:r>
        <w:rPr>
          <w:rFonts w:hint="eastAsia" w:ascii="宋体" w:hAnsi="宋体" w:cs="宋体"/>
          <w:color w:val="000000"/>
          <w:sz w:val="24"/>
          <w:lang w:eastAsia="zh-CN"/>
        </w:rPr>
        <w:t>依据</w:t>
      </w:r>
      <w:r>
        <w:rPr>
          <w:rFonts w:hint="eastAsia" w:ascii="宋体" w:hAnsi="宋体" w:cs="宋体"/>
          <w:color w:val="000000"/>
          <w:sz w:val="24"/>
        </w:rPr>
        <w:t>。</w:t>
      </w:r>
    </w:p>
    <w:p>
      <w:pPr>
        <w:spacing w:line="360" w:lineRule="auto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</w:rPr>
        <w:t>方法</w:t>
      </w:r>
      <w:r>
        <w:rPr>
          <w:rFonts w:hint="eastAsia" w:ascii="黑体" w:hAnsi="黑体" w:eastAsia="黑体" w:cs="黑体"/>
          <w:color w:val="000000"/>
          <w:sz w:val="24"/>
          <w:szCs w:val="24"/>
        </w:rPr>
        <w:t xml:space="preserve"> </w:t>
      </w:r>
    </w:p>
    <w:p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黑体" w:hAnsi="黑体" w:eastAsia="黑体" w:cs="黑体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cs="宋体"/>
          <w:color w:val="000000"/>
          <w:sz w:val="24"/>
        </w:rPr>
        <w:t>选取</w:t>
      </w:r>
      <w:r>
        <w:rPr>
          <w:rFonts w:hint="eastAsia" w:ascii="宋体" w:hAnsi="宋体" w:eastAsia="宋体" w:cs="宋体"/>
          <w:color w:val="000000"/>
          <w:sz w:val="24"/>
        </w:rPr>
        <w:t>2015</w:t>
      </w:r>
      <w:r>
        <w:rPr>
          <w:rFonts w:hint="eastAsia" w:ascii="宋体" w:hAnsi="宋体" w:cs="宋体"/>
          <w:color w:val="000000"/>
          <w:sz w:val="24"/>
        </w:rPr>
        <w:t>年1月至7月新乡市第一人民医院251</w:t>
      </w:r>
      <w:r>
        <w:rPr>
          <w:rFonts w:hint="eastAsia" w:ascii="宋体" w:hAnsi="宋体" w:cs="宋体"/>
          <w:color w:val="000000"/>
          <w:sz w:val="24"/>
          <w:lang w:eastAsia="zh-CN"/>
        </w:rPr>
        <w:t>例</w:t>
      </w:r>
      <w:r>
        <w:rPr>
          <w:rFonts w:hint="default" w:ascii="Times New Roman" w:hAnsi="Times New Roman" w:cs="Times New Roman"/>
          <w:color w:val="000000"/>
          <w:sz w:val="24"/>
          <w:lang w:val="en-US" w:eastAsia="zh-CN"/>
        </w:rPr>
        <w:t>MHD</w:t>
      </w:r>
      <w:r>
        <w:rPr>
          <w:rFonts w:hint="eastAsia" w:ascii="宋体" w:hAnsi="宋体" w:cs="宋体"/>
          <w:color w:val="000000"/>
          <w:sz w:val="24"/>
        </w:rPr>
        <w:t>3</w:t>
      </w:r>
      <w:r>
        <w:rPr>
          <w:rFonts w:hint="eastAsia" w:ascii="宋体" w:hAnsi="宋体" w:cs="宋体"/>
          <w:color w:val="000000"/>
          <w:sz w:val="24"/>
          <w:lang w:eastAsia="zh-CN"/>
        </w:rPr>
        <w:t>个</w:t>
      </w:r>
      <w:r>
        <w:rPr>
          <w:rFonts w:hint="eastAsia" w:ascii="宋体" w:hAnsi="宋体" w:cs="宋体"/>
          <w:color w:val="000000"/>
          <w:sz w:val="24"/>
        </w:rPr>
        <w:t>月以上患者，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进行问卷调查，包括</w:t>
      </w:r>
      <w:r>
        <w:rPr>
          <w:rFonts w:hint="eastAsia" w:ascii="宋体" w:hAnsi="宋体" w:cs="宋体"/>
          <w:color w:val="000000"/>
          <w:sz w:val="24"/>
        </w:rPr>
        <w:t>性别、年龄、透析龄、原发疾病</w:t>
      </w:r>
      <w:r>
        <w:rPr>
          <w:rFonts w:hint="eastAsia" w:ascii="宋体" w:hAnsi="宋体" w:cs="宋体"/>
          <w:color w:val="000000"/>
          <w:sz w:val="24"/>
          <w:lang w:eastAsia="zh-CN"/>
        </w:rPr>
        <w:t>、既往史、应用药物情况等临床指标和</w:t>
      </w:r>
      <w:r>
        <w:rPr>
          <w:rFonts w:hint="eastAsia" w:ascii="宋体" w:hAnsi="宋体" w:cs="宋体"/>
          <w:color w:val="000000"/>
          <w:sz w:val="24"/>
        </w:rPr>
        <w:t>血红蛋白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（Hemoglobin</w:t>
      </w:r>
      <w:r>
        <w:rPr>
          <w:rFonts w:hint="default" w:ascii="Times New Roman" w:hAnsi="Times New Roman" w:cs="Times New Roman"/>
          <w:color w:val="000000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Hb）</w:t>
      </w:r>
      <w:r>
        <w:rPr>
          <w:rFonts w:hint="eastAsia" w:ascii="宋体" w:hAnsi="宋体" w:cs="宋体"/>
          <w:color w:val="000000"/>
          <w:sz w:val="24"/>
        </w:rPr>
        <w:t>、白蛋白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(Albumin</w:t>
      </w:r>
      <w:r>
        <w:rPr>
          <w:rFonts w:hint="default" w:ascii="Times New Roman" w:hAnsi="Times New Roman" w:cs="Times New Roman"/>
          <w:color w:val="000000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ALB)</w:t>
      </w:r>
      <w:r>
        <w:rPr>
          <w:rFonts w:hint="eastAsia" w:ascii="宋体" w:hAnsi="宋体" w:cs="宋体"/>
          <w:color w:val="000000"/>
          <w:sz w:val="24"/>
        </w:rPr>
        <w:t>、</w:t>
      </w:r>
      <w:r>
        <w:rPr>
          <w:rFonts w:hint="eastAsia" w:ascii="宋体" w:hAnsi="宋体" w:cs="宋体"/>
          <w:color w:val="000000"/>
          <w:sz w:val="24"/>
          <w:lang w:eastAsia="zh-CN"/>
        </w:rPr>
        <w:t>钙、磷</w:t>
      </w:r>
      <w:r>
        <w:rPr>
          <w:rFonts w:hint="eastAsia" w:ascii="宋体" w:hAnsi="宋体" w:cs="宋体"/>
          <w:color w:val="000000"/>
          <w:sz w:val="24"/>
        </w:rPr>
        <w:t>及</w:t>
      </w:r>
      <w:r>
        <w:rPr>
          <w:rFonts w:hint="default" w:ascii="Times New Roman" w:hAnsi="Times New Roman" w:cs="Times New Roman"/>
          <w:color w:val="000000"/>
          <w:sz w:val="24"/>
        </w:rPr>
        <w:t>iPTH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化验检查指标</w:t>
      </w:r>
      <w:r>
        <w:rPr>
          <w:rFonts w:hint="eastAsia" w:ascii="宋体" w:hAnsi="宋体" w:cs="宋体"/>
          <w:color w:val="000000"/>
          <w:sz w:val="24"/>
        </w:rPr>
        <w:t>。</w:t>
      </w:r>
      <w:r>
        <w:rPr>
          <w:rFonts w:hint="eastAsia" w:ascii="宋体" w:hAnsi="宋体" w:cs="宋体"/>
          <w:color w:val="000000"/>
          <w:sz w:val="24"/>
          <w:lang w:eastAsia="zh-CN"/>
        </w:rPr>
        <w:t>描述钙磷代谢特点，计算达标率，并分析不同</w:t>
      </w:r>
      <w:r>
        <w:rPr>
          <w:rFonts w:hint="eastAsia" w:ascii="宋体" w:hAnsi="宋体" w:cs="宋体"/>
          <w:color w:val="000000"/>
          <w:sz w:val="24"/>
        </w:rPr>
        <w:t>性别、年龄、透析龄、</w:t>
      </w:r>
      <w:r>
        <w:rPr>
          <w:rFonts w:hint="default" w:ascii="Times New Roman" w:hAnsi="Times New Roman" w:cs="Times New Roman"/>
          <w:color w:val="000000"/>
          <w:sz w:val="24"/>
          <w:lang w:val="en-US" w:eastAsia="zh-CN"/>
        </w:rPr>
        <w:t>Hb</w:t>
      </w:r>
      <w:r>
        <w:rPr>
          <w:rFonts w:hint="default" w:ascii="Times New Roman" w:hAnsi="Times New Roman" w:cs="Times New Roman"/>
          <w:color w:val="000000"/>
          <w:sz w:val="24"/>
        </w:rPr>
        <w:t>、</w:t>
      </w:r>
      <w:r>
        <w:rPr>
          <w:rFonts w:hint="default" w:ascii="Times New Roman" w:hAnsi="Times New Roman" w:cs="Times New Roman"/>
          <w:color w:val="000000"/>
          <w:sz w:val="24"/>
          <w:lang w:val="en-US" w:eastAsia="zh-CN"/>
        </w:rPr>
        <w:t>ALB</w:t>
      </w:r>
      <w:r>
        <w:rPr>
          <w:rFonts w:hint="eastAsia" w:ascii="宋体" w:hAnsi="宋体" w:cs="宋体"/>
          <w:color w:val="000000"/>
          <w:sz w:val="24"/>
        </w:rPr>
        <w:t>、原发病</w:t>
      </w:r>
      <w:r>
        <w:rPr>
          <w:rFonts w:hint="eastAsia" w:ascii="宋体" w:hAnsi="宋体" w:cs="宋体"/>
          <w:color w:val="000000"/>
          <w:sz w:val="24"/>
          <w:lang w:eastAsia="zh-CN"/>
        </w:rPr>
        <w:t>以及不同</w:t>
      </w:r>
      <w:r>
        <w:rPr>
          <w:rFonts w:hint="default" w:ascii="Times New Roman" w:hAnsi="Times New Roman" w:cs="Times New Roman"/>
          <w:color w:val="000000"/>
          <w:sz w:val="24"/>
        </w:rPr>
        <w:t>iPTH</w:t>
      </w:r>
      <w:r>
        <w:rPr>
          <w:rFonts w:hint="eastAsia" w:ascii="宋体" w:hAnsi="宋体" w:cs="宋体"/>
          <w:color w:val="000000"/>
          <w:sz w:val="24"/>
          <w:lang w:eastAsia="zh-CN"/>
        </w:rPr>
        <w:t>患者人群钙磷代谢特点。</w:t>
      </w:r>
    </w:p>
    <w:p>
      <w:pPr>
        <w:spacing w:line="360" w:lineRule="auto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</w:rPr>
        <w:t>结果</w:t>
      </w: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 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本组</w:t>
      </w:r>
      <w:r>
        <w:rPr>
          <w:rFonts w:hint="eastAsia" w:ascii="宋体" w:hAnsi="宋体" w:eastAsia="宋体" w:cs="宋体"/>
          <w:color w:val="000000"/>
          <w:sz w:val="24"/>
        </w:rPr>
        <w:t>研究对象血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eastAsia="zh-CN"/>
        </w:rPr>
        <w:t>钙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、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eastAsia="zh-CN"/>
        </w:rPr>
        <w:t>磷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、iPTH、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钙磷乘积</w:t>
      </w:r>
      <w:r>
        <w:rPr>
          <w:rFonts w:hint="eastAsia" w:ascii="宋体" w:hAnsi="宋体" w:eastAsia="宋体" w:cs="宋体"/>
          <w:color w:val="000000"/>
          <w:sz w:val="24"/>
        </w:rPr>
        <w:t>达标率分别为31%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,</w:t>
      </w:r>
      <w:r>
        <w:rPr>
          <w:rFonts w:hint="eastAsia" w:ascii="宋体" w:hAnsi="宋体" w:eastAsia="宋体" w:cs="宋体"/>
          <w:color w:val="000000"/>
          <w:sz w:val="24"/>
        </w:rPr>
        <w:t>23.5%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,</w:t>
      </w:r>
      <w:r>
        <w:rPr>
          <w:rFonts w:hint="eastAsia" w:ascii="宋体" w:hAnsi="宋体" w:eastAsia="宋体" w:cs="宋体"/>
          <w:color w:val="000000"/>
          <w:sz w:val="24"/>
        </w:rPr>
        <w:t>27.9%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,</w:t>
      </w:r>
      <w:r>
        <w:rPr>
          <w:rFonts w:hint="eastAsia" w:ascii="宋体" w:hAnsi="宋体" w:eastAsia="宋体" w:cs="宋体"/>
          <w:color w:val="000000"/>
          <w:sz w:val="24"/>
        </w:rPr>
        <w:t>59.4%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。</w:t>
      </w:r>
      <w:r>
        <w:rPr>
          <w:rFonts w:hint="eastAsia" w:ascii="宋体" w:hAnsi="宋体" w:eastAsia="宋体" w:cs="宋体"/>
          <w:color w:val="000000"/>
          <w:sz w:val="24"/>
        </w:rPr>
        <w:t>血</w:t>
      </w:r>
      <w:r>
        <w:rPr>
          <w:rFonts w:hint="eastAsia" w:ascii="Times New Roman" w:hAnsi="Times New Roman" w:eastAsia="宋体" w:cs="Times New Roman"/>
          <w:color w:val="000000"/>
          <w:sz w:val="24"/>
          <w:lang w:eastAsia="zh-CN"/>
        </w:rPr>
        <w:t>钙</w:t>
      </w:r>
      <w:r>
        <w:rPr>
          <w:rFonts w:hint="default" w:ascii="Times New Roman" w:hAnsi="Times New Roman" w:eastAsia="宋体" w:cs="Times New Roman"/>
          <w:color w:val="000000"/>
          <w:sz w:val="24"/>
        </w:rPr>
        <w:t>、</w:t>
      </w:r>
      <w:r>
        <w:rPr>
          <w:rFonts w:hint="eastAsia" w:ascii="Times New Roman" w:hAnsi="Times New Roman" w:eastAsia="宋体" w:cs="Times New Roman"/>
          <w:color w:val="000000"/>
          <w:sz w:val="24"/>
          <w:lang w:eastAsia="zh-CN"/>
        </w:rPr>
        <w:t>磷</w:t>
      </w:r>
      <w:r>
        <w:rPr>
          <w:rFonts w:hint="default" w:ascii="Times New Roman" w:hAnsi="Times New Roman" w:eastAsia="宋体" w:cs="Times New Roman"/>
          <w:color w:val="000000"/>
          <w:sz w:val="24"/>
        </w:rPr>
        <w:t>、iPTH、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钙磷乘积</w:t>
      </w:r>
      <w:r>
        <w:rPr>
          <w:rFonts w:hint="eastAsia" w:ascii="宋体" w:hAnsi="宋体" w:eastAsia="宋体" w:cs="宋体"/>
          <w:color w:val="000000"/>
          <w:sz w:val="24"/>
        </w:rPr>
        <w:t>均值分别为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(</w:t>
      </w:r>
      <w:r>
        <w:rPr>
          <w:rFonts w:hint="eastAsia" w:ascii="宋体" w:hAnsi="宋体" w:eastAsia="宋体" w:cs="宋体"/>
          <w:color w:val="000000"/>
          <w:sz w:val="24"/>
        </w:rPr>
        <w:t>1.99±0.33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)</w:t>
      </w:r>
      <w:r>
        <w:rPr>
          <w:rFonts w:hint="eastAsia" w:ascii="宋体" w:hAnsi="宋体" w:eastAsia="宋体" w:cs="宋体"/>
          <w:color w:val="000000"/>
          <w:sz w:val="24"/>
        </w:rPr>
        <w:t>mmol/L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,(</w:t>
      </w:r>
      <w:r>
        <w:rPr>
          <w:rFonts w:hint="eastAsia" w:ascii="宋体" w:hAnsi="宋体" w:eastAsia="宋体" w:cs="宋体"/>
          <w:color w:val="000000"/>
          <w:sz w:val="24"/>
        </w:rPr>
        <w:t>2.31±0.89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)</w:t>
      </w:r>
      <w:r>
        <w:rPr>
          <w:rFonts w:hint="eastAsia" w:ascii="宋体" w:hAnsi="宋体" w:eastAsia="宋体" w:cs="宋体"/>
          <w:color w:val="000000"/>
          <w:sz w:val="24"/>
        </w:rPr>
        <w:t>mmol/L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,(</w:t>
      </w:r>
      <w:r>
        <w:rPr>
          <w:rFonts w:hint="eastAsia" w:ascii="宋体" w:hAnsi="宋体" w:eastAsia="宋体" w:cs="宋体"/>
          <w:color w:val="000000"/>
          <w:sz w:val="24"/>
        </w:rPr>
        <w:t>438.47±411.43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)</w:t>
      </w:r>
      <w:r>
        <w:rPr>
          <w:rFonts w:hint="eastAsia" w:ascii="宋体" w:hAnsi="宋体" w:eastAsia="宋体" w:cs="宋体"/>
          <w:color w:val="000000"/>
          <w:sz w:val="24"/>
        </w:rPr>
        <w:t>ng/L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,(</w:t>
      </w:r>
      <w:r>
        <w:rPr>
          <w:rFonts w:hint="eastAsia" w:ascii="宋体" w:hAnsi="宋体" w:eastAsia="宋体" w:cs="宋体"/>
          <w:color w:val="000000"/>
          <w:sz w:val="24"/>
        </w:rPr>
        <w:t>4.53±1.79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)</w:t>
      </w:r>
      <w:r>
        <w:rPr>
          <w:rFonts w:hint="eastAsia" w:ascii="宋体" w:hAnsi="宋体" w:eastAsia="宋体" w:cs="宋体"/>
          <w:color w:val="000000"/>
          <w:sz w:val="24"/>
        </w:rPr>
        <w:t>mmol</w:t>
      </w:r>
      <w:r>
        <w:rPr>
          <w:rFonts w:hint="eastAsia" w:ascii="宋体" w:hAnsi="宋体" w:eastAsia="宋体" w:cs="宋体"/>
          <w:color w:val="000000"/>
          <w:sz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/</w:t>
      </w:r>
      <w:r>
        <w:rPr>
          <w:rFonts w:hint="eastAsia" w:ascii="宋体" w:hAnsi="宋体" w:eastAsia="宋体" w:cs="宋体"/>
          <w:color w:val="000000"/>
          <w:sz w:val="24"/>
        </w:rPr>
        <w:t>L。年龄≥60岁组血</w:t>
      </w:r>
      <w:r>
        <w:rPr>
          <w:rFonts w:hint="eastAsia" w:ascii="Times New Roman" w:hAnsi="Times New Roman" w:eastAsia="宋体" w:cs="Times New Roman"/>
          <w:color w:val="000000"/>
          <w:sz w:val="24"/>
          <w:lang w:eastAsia="zh-CN"/>
        </w:rPr>
        <w:t>钙</w:t>
      </w:r>
      <w:r>
        <w:rPr>
          <w:rFonts w:hint="default" w:ascii="Times New Roman" w:hAnsi="Times New Roman" w:eastAsia="宋体" w:cs="Times New Roman"/>
          <w:color w:val="000000"/>
          <w:sz w:val="24"/>
        </w:rPr>
        <w:t>、</w:t>
      </w:r>
      <w:r>
        <w:rPr>
          <w:rFonts w:hint="eastAsia" w:ascii="Times New Roman" w:hAnsi="Times New Roman" w:eastAsia="宋体" w:cs="Times New Roman"/>
          <w:color w:val="000000"/>
          <w:sz w:val="24"/>
          <w:lang w:eastAsia="zh-CN"/>
        </w:rPr>
        <w:t>磷</w:t>
      </w:r>
      <w:r>
        <w:rPr>
          <w:rFonts w:hint="default" w:ascii="Times New Roman" w:hAnsi="Times New Roman" w:eastAsia="宋体" w:cs="Times New Roman"/>
          <w:color w:val="000000"/>
          <w:sz w:val="24"/>
        </w:rPr>
        <w:t>、iPTH、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钙磷乘积</w:t>
      </w:r>
      <w:r>
        <w:rPr>
          <w:rFonts w:hint="eastAsia" w:ascii="宋体" w:hAnsi="宋体" w:eastAsia="宋体" w:cs="宋体"/>
          <w:color w:val="000000"/>
          <w:sz w:val="24"/>
        </w:rPr>
        <w:t>均值与年龄＜60岁组比较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差异均具</w:t>
      </w:r>
      <w:r>
        <w:rPr>
          <w:rFonts w:hint="eastAsia" w:ascii="宋体" w:hAnsi="宋体" w:eastAsia="宋体" w:cs="宋体"/>
          <w:color w:val="000000"/>
          <w:sz w:val="24"/>
        </w:rPr>
        <w:t>有统计学意义（</w:t>
      </w:r>
      <w:r>
        <w:rPr>
          <w:rFonts w:hint="eastAsia" w:ascii="宋体" w:hAnsi="宋体" w:eastAsia="宋体" w:cs="宋体"/>
          <w:i/>
          <w:iCs/>
          <w:color w:val="000000"/>
          <w:sz w:val="24"/>
        </w:rPr>
        <w:t>P</w:t>
      </w:r>
      <w:r>
        <w:rPr>
          <w:rFonts w:hint="eastAsia" w:ascii="宋体" w:hAnsi="宋体" w:eastAsia="宋体" w:cs="宋体"/>
          <w:color w:val="000000"/>
          <w:sz w:val="24"/>
        </w:rPr>
        <w:t>＜0.05）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;</w:t>
      </w:r>
      <w:r>
        <w:rPr>
          <w:rFonts w:hint="eastAsia" w:ascii="宋体" w:hAnsi="宋体" w:eastAsia="宋体" w:cs="宋体"/>
          <w:color w:val="000000"/>
          <w:sz w:val="24"/>
        </w:rPr>
        <w:t>透析龄≥3年组血</w:t>
      </w:r>
      <w:r>
        <w:rPr>
          <w:rFonts w:hint="default" w:ascii="Times New Roman" w:hAnsi="Times New Roman" w:eastAsia="宋体" w:cs="Times New Roman"/>
          <w:color w:val="000000"/>
          <w:sz w:val="24"/>
        </w:rPr>
        <w:t>iPTH</w:t>
      </w:r>
      <w:r>
        <w:rPr>
          <w:rFonts w:hint="eastAsia" w:ascii="Times New Roman" w:hAnsi="Times New Roman" w:eastAsia="宋体" w:cs="Times New Roman"/>
          <w:color w:val="000000"/>
          <w:sz w:val="24"/>
          <w:lang w:eastAsia="zh-CN"/>
        </w:rPr>
        <w:t>均值</w:t>
      </w:r>
      <w:r>
        <w:rPr>
          <w:rFonts w:hint="eastAsia" w:ascii="宋体" w:hAnsi="宋体" w:eastAsia="宋体" w:cs="宋体"/>
          <w:color w:val="000000"/>
          <w:sz w:val="24"/>
        </w:rPr>
        <w:t>与＜3年组比较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差异具</w:t>
      </w:r>
      <w:r>
        <w:rPr>
          <w:rFonts w:hint="eastAsia" w:ascii="宋体" w:hAnsi="宋体" w:eastAsia="宋体" w:cs="宋体"/>
          <w:color w:val="000000"/>
          <w:sz w:val="24"/>
        </w:rPr>
        <w:t>有统计学意义（</w:t>
      </w:r>
      <w:r>
        <w:rPr>
          <w:rFonts w:hint="eastAsia" w:ascii="宋体" w:hAnsi="宋体" w:eastAsia="宋体" w:cs="宋体"/>
          <w:i/>
          <w:iCs/>
          <w:color w:val="000000"/>
          <w:sz w:val="24"/>
        </w:rPr>
        <w:t>P</w:t>
      </w:r>
      <w:r>
        <w:rPr>
          <w:rFonts w:hint="eastAsia" w:ascii="宋体" w:hAnsi="宋体" w:eastAsia="宋体" w:cs="宋体"/>
          <w:color w:val="000000"/>
          <w:sz w:val="24"/>
        </w:rPr>
        <w:t>＜0.05）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;</w:t>
      </w:r>
      <w:r>
        <w:rPr>
          <w:rFonts w:hint="eastAsia" w:ascii="宋体" w:hAnsi="宋体" w:eastAsia="宋体" w:cs="宋体"/>
          <w:color w:val="000000"/>
          <w:sz w:val="24"/>
        </w:rPr>
        <w:t>血清</w:t>
      </w:r>
      <w:r>
        <w:rPr>
          <w:rFonts w:hint="default" w:ascii="Times New Roman" w:hAnsi="Times New Roman" w:eastAsia="宋体" w:cs="Times New Roman"/>
          <w:color w:val="000000"/>
          <w:sz w:val="24"/>
        </w:rPr>
        <w:t>Hb</w:t>
      </w:r>
      <w:r>
        <w:rPr>
          <w:rFonts w:hint="eastAsia" w:ascii="宋体" w:hAnsi="宋体" w:eastAsia="宋体" w:cs="宋体"/>
          <w:color w:val="000000"/>
          <w:sz w:val="24"/>
        </w:rPr>
        <w:t>≥110g/L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组</w:t>
      </w:r>
      <w:r>
        <w:rPr>
          <w:rFonts w:hint="eastAsia" w:ascii="宋体" w:hAnsi="宋体" w:eastAsia="宋体" w:cs="宋体"/>
          <w:color w:val="000000"/>
          <w:sz w:val="24"/>
        </w:rPr>
        <w:t>钙磷乘积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均值</w:t>
      </w:r>
      <w:r>
        <w:rPr>
          <w:rFonts w:hint="eastAsia" w:ascii="宋体" w:hAnsi="宋体" w:eastAsia="宋体" w:cs="宋体"/>
          <w:color w:val="000000"/>
          <w:sz w:val="24"/>
        </w:rPr>
        <w:t>与＜110g/L组比较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差异</w:t>
      </w:r>
      <w:r>
        <w:rPr>
          <w:rFonts w:hint="eastAsia" w:ascii="宋体" w:hAnsi="宋体" w:eastAsia="宋体" w:cs="宋体"/>
          <w:color w:val="000000"/>
          <w:sz w:val="24"/>
        </w:rPr>
        <w:t>具有统计学意义（</w:t>
      </w:r>
      <w:r>
        <w:rPr>
          <w:rFonts w:hint="eastAsia" w:ascii="宋体" w:hAnsi="宋体" w:eastAsia="宋体" w:cs="宋体"/>
          <w:i/>
          <w:iCs/>
          <w:color w:val="000000"/>
          <w:sz w:val="24"/>
        </w:rPr>
        <w:t>P</w:t>
      </w:r>
      <w:r>
        <w:rPr>
          <w:rFonts w:hint="eastAsia" w:ascii="宋体" w:hAnsi="宋体" w:eastAsia="宋体" w:cs="宋体"/>
          <w:color w:val="000000"/>
          <w:sz w:val="24"/>
        </w:rPr>
        <w:t>＜0.05）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;</w:t>
      </w:r>
      <w:r>
        <w:rPr>
          <w:rFonts w:hint="eastAsia" w:ascii="宋体" w:hAnsi="宋体" w:eastAsia="宋体" w:cs="宋体"/>
          <w:color w:val="000000"/>
          <w:sz w:val="24"/>
        </w:rPr>
        <w:t>血清</w:t>
      </w:r>
      <w:r>
        <w:rPr>
          <w:rFonts w:hint="default" w:ascii="Times New Roman" w:hAnsi="Times New Roman" w:eastAsia="宋体" w:cs="Times New Roman"/>
          <w:color w:val="000000"/>
          <w:sz w:val="24"/>
        </w:rPr>
        <w:t>ALB</w:t>
      </w:r>
      <w:r>
        <w:rPr>
          <w:rFonts w:hint="eastAsia" w:ascii="宋体" w:hAnsi="宋体" w:eastAsia="宋体" w:cs="宋体"/>
          <w:color w:val="000000"/>
          <w:sz w:val="24"/>
        </w:rPr>
        <w:t>≥35g/L组血</w:t>
      </w:r>
      <w:r>
        <w:rPr>
          <w:rFonts w:hint="eastAsia" w:ascii="Times New Roman" w:hAnsi="Times New Roman" w:eastAsia="宋体" w:cs="Times New Roman"/>
          <w:color w:val="000000"/>
          <w:sz w:val="24"/>
          <w:lang w:eastAsia="zh-CN"/>
        </w:rPr>
        <w:t>钙</w:t>
      </w:r>
      <w:r>
        <w:rPr>
          <w:rFonts w:hint="default" w:ascii="Times New Roman" w:hAnsi="Times New Roman" w:eastAsia="宋体" w:cs="Times New Roman"/>
          <w:color w:val="000000"/>
          <w:sz w:val="24"/>
        </w:rPr>
        <w:t>、</w:t>
      </w:r>
      <w:r>
        <w:rPr>
          <w:rFonts w:hint="eastAsia" w:ascii="Times New Roman" w:hAnsi="Times New Roman" w:eastAsia="宋体" w:cs="Times New Roman"/>
          <w:color w:val="000000"/>
          <w:sz w:val="24"/>
          <w:lang w:eastAsia="zh-CN"/>
        </w:rPr>
        <w:t>磷</w:t>
      </w:r>
      <w:r>
        <w:rPr>
          <w:rFonts w:hint="default" w:ascii="Times New Roman" w:hAnsi="Times New Roman" w:eastAsia="宋体" w:cs="Times New Roman"/>
          <w:color w:val="000000"/>
          <w:sz w:val="24"/>
        </w:rPr>
        <w:t>、iPTH、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钙磷乘积均值</w:t>
      </w:r>
      <w:r>
        <w:rPr>
          <w:rFonts w:hint="eastAsia" w:ascii="宋体" w:hAnsi="宋体" w:eastAsia="宋体" w:cs="宋体"/>
          <w:color w:val="000000"/>
          <w:sz w:val="24"/>
        </w:rPr>
        <w:t>与＜35g/L组比较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差异</w:t>
      </w:r>
      <w:r>
        <w:rPr>
          <w:rFonts w:hint="eastAsia" w:ascii="宋体" w:hAnsi="宋体" w:eastAsia="宋体" w:cs="宋体"/>
          <w:color w:val="000000"/>
          <w:sz w:val="24"/>
        </w:rPr>
        <w:t>均有统计学意义（</w:t>
      </w:r>
      <w:r>
        <w:rPr>
          <w:rFonts w:hint="eastAsia" w:ascii="宋体" w:hAnsi="宋体" w:eastAsia="宋体" w:cs="宋体"/>
          <w:i/>
          <w:iCs/>
          <w:color w:val="000000"/>
          <w:sz w:val="24"/>
        </w:rPr>
        <w:t>P</w:t>
      </w:r>
      <w:r>
        <w:rPr>
          <w:rFonts w:hint="eastAsia" w:ascii="宋体" w:hAnsi="宋体" w:eastAsia="宋体" w:cs="宋体"/>
          <w:color w:val="000000"/>
          <w:sz w:val="24"/>
        </w:rPr>
        <w:t>＜0.05）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;</w:t>
      </w:r>
      <w:r>
        <w:rPr>
          <w:rFonts w:hint="eastAsia" w:ascii="宋体" w:hAnsi="宋体" w:eastAsia="宋体" w:cs="宋体"/>
          <w:color w:val="000000"/>
          <w:sz w:val="24"/>
        </w:rPr>
        <w:t>糖尿病组血</w:t>
      </w:r>
      <w:r>
        <w:rPr>
          <w:rFonts w:hint="eastAsia" w:ascii="Times New Roman" w:hAnsi="Times New Roman" w:eastAsia="宋体" w:cs="Times New Roman"/>
          <w:color w:val="000000"/>
          <w:sz w:val="24"/>
          <w:lang w:eastAsia="zh-CN"/>
        </w:rPr>
        <w:t>钙</w:t>
      </w:r>
      <w:r>
        <w:rPr>
          <w:rFonts w:hint="default" w:ascii="Times New Roman" w:hAnsi="Times New Roman" w:eastAsia="宋体" w:cs="Times New Roman"/>
          <w:color w:val="000000"/>
          <w:sz w:val="24"/>
        </w:rPr>
        <w:t>、</w:t>
      </w:r>
      <w:r>
        <w:rPr>
          <w:rFonts w:hint="eastAsia" w:ascii="Times New Roman" w:hAnsi="Times New Roman" w:eastAsia="宋体" w:cs="Times New Roman"/>
          <w:color w:val="000000"/>
          <w:sz w:val="24"/>
          <w:lang w:val="en-US" w:eastAsia="zh-CN"/>
        </w:rPr>
        <w:t>磷</w:t>
      </w:r>
      <w:r>
        <w:rPr>
          <w:rFonts w:hint="default" w:ascii="Times New Roman" w:hAnsi="Times New Roman" w:eastAsia="宋体" w:cs="Times New Roman"/>
          <w:color w:val="000000"/>
          <w:sz w:val="24"/>
        </w:rPr>
        <w:t>、iPTH、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钙磷乘积均值</w:t>
      </w:r>
      <w:r>
        <w:rPr>
          <w:rFonts w:hint="eastAsia" w:ascii="宋体" w:hAnsi="宋体" w:eastAsia="宋体" w:cs="宋体"/>
          <w:color w:val="000000"/>
          <w:sz w:val="24"/>
        </w:rPr>
        <w:t>与非糖尿病组比较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差异</w:t>
      </w:r>
      <w:r>
        <w:rPr>
          <w:rFonts w:hint="eastAsia" w:ascii="宋体" w:hAnsi="宋体" w:eastAsia="宋体" w:cs="宋体"/>
          <w:color w:val="000000"/>
          <w:sz w:val="24"/>
        </w:rPr>
        <w:t>均具有统计学意义（</w:t>
      </w:r>
      <w:r>
        <w:rPr>
          <w:rFonts w:hint="eastAsia" w:ascii="宋体" w:hAnsi="宋体" w:eastAsia="宋体" w:cs="宋体"/>
          <w:i/>
          <w:iCs/>
          <w:color w:val="000000"/>
          <w:sz w:val="24"/>
        </w:rPr>
        <w:t>P</w:t>
      </w:r>
      <w:r>
        <w:rPr>
          <w:rFonts w:hint="eastAsia" w:ascii="宋体" w:hAnsi="宋体" w:eastAsia="宋体" w:cs="宋体"/>
          <w:color w:val="000000"/>
          <w:sz w:val="24"/>
        </w:rPr>
        <w:t>＜0.05）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;</w:t>
      </w:r>
      <w:r>
        <w:rPr>
          <w:rFonts w:hint="default" w:ascii="Times New Roman" w:hAnsi="Times New Roman" w:eastAsia="宋体" w:cs="Times New Roman"/>
          <w:color w:val="000000"/>
          <w:sz w:val="24"/>
        </w:rPr>
        <w:t>iPTH</w:t>
      </w:r>
      <w:r>
        <w:rPr>
          <w:rFonts w:hint="eastAsia" w:ascii="宋体" w:hAnsi="宋体" w:eastAsia="宋体" w:cs="宋体"/>
          <w:color w:val="000000"/>
          <w:sz w:val="24"/>
        </w:rPr>
        <w:t>≥300ng/L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组</w:t>
      </w:r>
      <w:r>
        <w:rPr>
          <w:rFonts w:hint="eastAsia" w:ascii="宋体" w:hAnsi="宋体" w:eastAsia="宋体" w:cs="宋体"/>
          <w:color w:val="000000"/>
          <w:sz w:val="24"/>
        </w:rPr>
        <w:t>血</w:t>
      </w:r>
      <w:r>
        <w:rPr>
          <w:rFonts w:hint="eastAsia" w:ascii="Times New Roman" w:hAnsi="Times New Roman" w:eastAsia="宋体" w:cs="Times New Roman"/>
          <w:color w:val="000000"/>
          <w:sz w:val="24"/>
          <w:lang w:eastAsia="zh-CN"/>
        </w:rPr>
        <w:t>钙</w:t>
      </w:r>
      <w:r>
        <w:rPr>
          <w:rFonts w:hint="default" w:ascii="Times New Roman" w:hAnsi="Times New Roman" w:eastAsia="宋体" w:cs="Times New Roman"/>
          <w:color w:val="000000"/>
          <w:sz w:val="24"/>
        </w:rPr>
        <w:t>、</w:t>
      </w:r>
      <w:r>
        <w:rPr>
          <w:rFonts w:hint="eastAsia" w:ascii="Times New Roman" w:hAnsi="Times New Roman" w:eastAsia="宋体" w:cs="Times New Roman"/>
          <w:color w:val="000000"/>
          <w:sz w:val="24"/>
          <w:lang w:eastAsia="zh-CN"/>
        </w:rPr>
        <w:t>磷均值</w:t>
      </w:r>
      <w:r>
        <w:rPr>
          <w:rFonts w:hint="eastAsia" w:ascii="宋体" w:hAnsi="宋体" w:eastAsia="宋体" w:cs="宋体"/>
          <w:color w:val="000000"/>
          <w:sz w:val="24"/>
        </w:rPr>
        <w:t>与</w:t>
      </w:r>
      <w:r>
        <w:rPr>
          <w:rFonts w:hint="default" w:ascii="Times New Roman" w:hAnsi="Times New Roman" w:eastAsia="宋体" w:cs="Times New Roman"/>
          <w:color w:val="000000"/>
          <w:sz w:val="24"/>
        </w:rPr>
        <w:t>iPTH</w:t>
      </w:r>
      <w:r>
        <w:rPr>
          <w:rFonts w:hint="eastAsia" w:ascii="宋体" w:hAnsi="宋体" w:eastAsia="宋体" w:cs="宋体"/>
          <w:color w:val="000000"/>
          <w:sz w:val="24"/>
        </w:rPr>
        <w:t>＜300ng/L组比较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差异</w:t>
      </w:r>
      <w:r>
        <w:rPr>
          <w:rFonts w:hint="eastAsia" w:ascii="宋体" w:hAnsi="宋体" w:eastAsia="宋体" w:cs="宋体"/>
          <w:color w:val="000000"/>
          <w:sz w:val="24"/>
        </w:rPr>
        <w:t>均具有统计学意义（</w:t>
      </w:r>
      <w:r>
        <w:rPr>
          <w:rFonts w:hint="eastAsia" w:ascii="宋体" w:hAnsi="宋体" w:eastAsia="宋体" w:cs="宋体"/>
          <w:i/>
          <w:iCs/>
          <w:color w:val="000000"/>
          <w:sz w:val="24"/>
        </w:rPr>
        <w:t>P</w:t>
      </w:r>
      <w:r>
        <w:rPr>
          <w:rFonts w:hint="eastAsia" w:ascii="宋体" w:hAnsi="宋体" w:eastAsia="宋体" w:cs="宋体"/>
          <w:color w:val="000000"/>
          <w:sz w:val="24"/>
        </w:rPr>
        <w:t>＜0.05）。</w:t>
      </w:r>
    </w:p>
    <w:p>
      <w:pPr>
        <w:spacing w:line="360" w:lineRule="auto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</w:rPr>
        <w:t>结论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我院</w:t>
      </w:r>
      <w:r>
        <w:rPr>
          <w:rFonts w:hint="default" w:ascii="Times New Roman" w:hAnsi="Times New Roman" w:eastAsia="宋体" w:cs="Times New Roman"/>
          <w:color w:val="000000"/>
          <w:sz w:val="24"/>
        </w:rPr>
        <w:t>MHD</w:t>
      </w:r>
      <w:r>
        <w:rPr>
          <w:rFonts w:hint="eastAsia" w:ascii="宋体" w:hAnsi="宋体" w:eastAsia="宋体" w:cs="宋体"/>
          <w:color w:val="000000"/>
          <w:sz w:val="24"/>
        </w:rPr>
        <w:t>患者血</w:t>
      </w:r>
      <w:r>
        <w:rPr>
          <w:rFonts w:hint="eastAsia" w:ascii="Times New Roman" w:hAnsi="Times New Roman" w:eastAsia="宋体" w:cs="Times New Roman"/>
          <w:color w:val="000000"/>
          <w:sz w:val="24"/>
          <w:lang w:eastAsia="zh-CN"/>
        </w:rPr>
        <w:t>钙</w:t>
      </w:r>
      <w:r>
        <w:rPr>
          <w:rFonts w:hint="default" w:ascii="Times New Roman" w:hAnsi="Times New Roman" w:eastAsia="宋体" w:cs="Times New Roman"/>
          <w:color w:val="000000"/>
          <w:sz w:val="24"/>
        </w:rPr>
        <w:t>、</w:t>
      </w:r>
      <w:r>
        <w:rPr>
          <w:rFonts w:hint="eastAsia" w:ascii="Times New Roman" w:hAnsi="Times New Roman" w:eastAsia="宋体" w:cs="Times New Roman"/>
          <w:color w:val="000000"/>
          <w:sz w:val="24"/>
          <w:lang w:eastAsia="zh-CN"/>
        </w:rPr>
        <w:t>磷</w:t>
      </w:r>
      <w:r>
        <w:rPr>
          <w:rFonts w:hint="default" w:ascii="Times New Roman" w:hAnsi="Times New Roman" w:eastAsia="宋体" w:cs="Times New Roman"/>
          <w:color w:val="000000"/>
          <w:sz w:val="24"/>
        </w:rPr>
        <w:t>、iPTH、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钙磷乘积</w:t>
      </w:r>
      <w:r>
        <w:rPr>
          <w:rFonts w:hint="eastAsia" w:ascii="宋体" w:hAnsi="宋体" w:eastAsia="宋体" w:cs="宋体"/>
          <w:color w:val="000000"/>
          <w:sz w:val="24"/>
        </w:rPr>
        <w:t>达标率低，年轻患者、非糖尿病患者、</w:t>
      </w:r>
      <w:r>
        <w:rPr>
          <w:rFonts w:hint="default" w:ascii="Times New Roman" w:hAnsi="Times New Roman" w:eastAsia="宋体" w:cs="Times New Roman"/>
          <w:color w:val="000000"/>
          <w:sz w:val="24"/>
        </w:rPr>
        <w:t>ALB</w:t>
      </w:r>
      <w:r>
        <w:rPr>
          <w:rFonts w:hint="eastAsia" w:ascii="宋体" w:hAnsi="宋体" w:eastAsia="宋体" w:cs="宋体"/>
          <w:color w:val="000000"/>
          <w:sz w:val="24"/>
        </w:rPr>
        <w:t>正常患者低</w:t>
      </w:r>
      <w:r>
        <w:rPr>
          <w:rFonts w:hint="eastAsia" w:ascii="Times New Roman" w:hAnsi="Times New Roman" w:eastAsia="宋体" w:cs="Times New Roman"/>
          <w:color w:val="000000"/>
          <w:sz w:val="24"/>
          <w:lang w:eastAsia="zh-CN"/>
        </w:rPr>
        <w:t>钙</w:t>
      </w:r>
      <w:r>
        <w:rPr>
          <w:rFonts w:hint="default" w:ascii="Times New Roman" w:hAnsi="Times New Roman" w:eastAsia="宋体" w:cs="Times New Roman"/>
          <w:color w:val="000000"/>
          <w:sz w:val="24"/>
        </w:rPr>
        <w:t>、</w:t>
      </w:r>
      <w:r>
        <w:rPr>
          <w:rFonts w:hint="eastAsia" w:ascii="宋体" w:hAnsi="宋体" w:eastAsia="宋体" w:cs="宋体"/>
          <w:color w:val="000000"/>
          <w:sz w:val="24"/>
        </w:rPr>
        <w:t>高</w:t>
      </w:r>
      <w:r>
        <w:rPr>
          <w:rFonts w:hint="eastAsia" w:ascii="Times New Roman" w:hAnsi="Times New Roman" w:eastAsia="宋体" w:cs="Times New Roman"/>
          <w:color w:val="000000"/>
          <w:sz w:val="24"/>
          <w:lang w:eastAsia="zh-CN"/>
        </w:rPr>
        <w:t>磷</w:t>
      </w:r>
      <w:r>
        <w:rPr>
          <w:rFonts w:hint="default" w:ascii="Times New Roman" w:hAnsi="Times New Roman" w:eastAsia="宋体" w:cs="Times New Roman"/>
          <w:color w:val="000000"/>
          <w:sz w:val="24"/>
        </w:rPr>
        <w:t>、</w:t>
      </w:r>
      <w:r>
        <w:rPr>
          <w:rFonts w:hint="eastAsia" w:ascii="宋体" w:hAnsi="宋体" w:eastAsia="宋体" w:cs="宋体"/>
          <w:color w:val="000000"/>
          <w:sz w:val="24"/>
        </w:rPr>
        <w:t>高</w:t>
      </w:r>
      <w:r>
        <w:rPr>
          <w:rFonts w:hint="default" w:ascii="Times New Roman" w:hAnsi="Times New Roman" w:eastAsia="宋体" w:cs="Times New Roman"/>
          <w:color w:val="000000"/>
          <w:sz w:val="24"/>
        </w:rPr>
        <w:t>iPTH、</w:t>
      </w:r>
      <w:r>
        <w:rPr>
          <w:rFonts w:hint="eastAsia" w:ascii="宋体" w:hAnsi="宋体" w:eastAsia="宋体" w:cs="宋体"/>
          <w:color w:val="000000"/>
          <w:sz w:val="24"/>
        </w:rPr>
        <w:t>高钙磷乘积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血</w:t>
      </w:r>
      <w:r>
        <w:rPr>
          <w:rFonts w:hint="eastAsia" w:ascii="宋体" w:hAnsi="宋体" w:eastAsia="宋体" w:cs="宋体"/>
          <w:color w:val="000000"/>
          <w:sz w:val="24"/>
        </w:rPr>
        <w:t>症突出；</w:t>
      </w:r>
      <w:r>
        <w:rPr>
          <w:rFonts w:hint="default" w:ascii="Times New Roman" w:hAnsi="Times New Roman" w:eastAsia="宋体" w:cs="Times New Roman"/>
          <w:color w:val="000000"/>
          <w:sz w:val="24"/>
        </w:rPr>
        <w:t>iPTH</w:t>
      </w:r>
      <w:r>
        <w:rPr>
          <w:rFonts w:hint="eastAsia" w:ascii="宋体" w:hAnsi="宋体" w:eastAsia="宋体" w:cs="宋体"/>
          <w:color w:val="000000"/>
          <w:sz w:val="24"/>
        </w:rPr>
        <w:t>≥300ng /L患者低钙高磷血症突出，透析龄长患者高</w:t>
      </w:r>
      <w:r>
        <w:rPr>
          <w:rFonts w:hint="default" w:ascii="Times New Roman" w:hAnsi="Times New Roman" w:eastAsia="宋体" w:cs="Times New Roman"/>
          <w:color w:val="000000"/>
          <w:sz w:val="24"/>
        </w:rPr>
        <w:t>iPTH</w:t>
      </w:r>
      <w:r>
        <w:rPr>
          <w:rFonts w:hint="eastAsia" w:ascii="宋体" w:hAnsi="宋体" w:eastAsia="宋体" w:cs="宋体"/>
          <w:color w:val="000000"/>
          <w:sz w:val="24"/>
        </w:rPr>
        <w:t>症突出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,</w:t>
      </w:r>
      <w:r>
        <w:rPr>
          <w:rFonts w:hint="eastAsia" w:ascii="宋体" w:hAnsi="宋体" w:eastAsia="宋体" w:cs="宋体"/>
          <w:color w:val="000000"/>
          <w:sz w:val="24"/>
        </w:rPr>
        <w:t>非贫血患者高钙磷乘积症突出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。</w:t>
      </w:r>
    </w:p>
    <w:p>
      <w:pPr>
        <w:spacing w:line="360" w:lineRule="auto"/>
      </w:pPr>
      <w:r>
        <w:rPr>
          <w:rFonts w:hint="eastAsia" w:ascii="宋体" w:hAnsi="宋体" w:cs="宋体"/>
          <w:color w:val="000000"/>
          <w:sz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color w:val="000000"/>
          <w:sz w:val="24"/>
          <w:szCs w:val="24"/>
        </w:rPr>
        <w:t>关键词</w:t>
      </w:r>
      <w:r>
        <w:rPr>
          <w:rFonts w:hint="eastAsia" w:ascii="宋体" w:hAnsi="宋体" w:cs="宋体"/>
          <w:color w:val="000000"/>
          <w:sz w:val="24"/>
        </w:rPr>
        <w:t xml:space="preserve"> 血液透析；钙；磷；甲状旁腺素；钙磷乘积</w:t>
      </w:r>
    </w:p>
    <w:sectPr>
      <w:pgSz w:w="11906" w:h="16838"/>
      <w:pgMar w:top="1984" w:right="1417" w:bottom="198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9DA"/>
    <w:rsid w:val="006056A5"/>
    <w:rsid w:val="00A252E0"/>
    <w:rsid w:val="00AC49DA"/>
    <w:rsid w:val="00B07693"/>
    <w:rsid w:val="00D37050"/>
    <w:rsid w:val="0FB158EC"/>
    <w:rsid w:val="14F83750"/>
    <w:rsid w:val="1B2A5AC5"/>
    <w:rsid w:val="202618A5"/>
    <w:rsid w:val="21BF792B"/>
    <w:rsid w:val="3A6109B5"/>
    <w:rsid w:val="40720A87"/>
    <w:rsid w:val="4FEB2EE7"/>
    <w:rsid w:val="556F5F93"/>
    <w:rsid w:val="5D98272C"/>
    <w:rsid w:val="64551CE8"/>
    <w:rsid w:val="67F85A7F"/>
    <w:rsid w:val="6F7B60F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qFormat/>
    <w:uiPriority w:val="99"/>
    <w:rPr>
      <w:rFonts w:hint="default" w:ascii="Verdana" w:hAnsi="Verdana"/>
      <w:color w:val="0000FF"/>
      <w:sz w:val="18"/>
      <w:szCs w:val="18"/>
      <w:u w:val="none"/>
    </w:r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9">
    <w:name w:val="_Style 2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hAnsi="Calibri" w:eastAsia="宋体" w:cs="Times New Roman"/>
      <w:vanish/>
      <w:sz w:val="16"/>
    </w:rPr>
  </w:style>
  <w:style w:type="paragraph" w:customStyle="1" w:styleId="10">
    <w:name w:val="_Style 2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hAnsi="Calibri" w:eastAsia="宋体" w:cs="Times New Roman"/>
      <w:vanish/>
      <w:sz w:val="16"/>
    </w:rPr>
  </w:style>
  <w:style w:type="character" w:customStyle="1" w:styleId="11">
    <w:name w:val="hps"/>
    <w:basedOn w:val="4"/>
    <w:qFormat/>
    <w:uiPriority w:val="0"/>
  </w:style>
  <w:style w:type="paragraph" w:customStyle="1" w:styleId="12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1182</Words>
  <Characters>6744</Characters>
  <Lines>56</Lines>
  <Paragraphs>15</Paragraphs>
  <ScaleCrop>false</ScaleCrop>
  <LinksUpToDate>false</LinksUpToDate>
  <CharactersWithSpaces>7911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2016-05-06T00:58:00Z</dcterms:created>
  <dc:creator>lenovo</dc:creator>
  <cp:lastModifiedBy>Administrator</cp:lastModifiedBy>
  <dcterms:modified xsi:type="dcterms:W3CDTF">2016-05-11T05:14:01Z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