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0"/>
          <w:szCs w:val="30"/>
          <w:lang w:val="en-US" w:eastAsia="zh-CN"/>
        </w:rPr>
        <w:t>MiR-138、miR-145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0"/>
          <w:szCs w:val="30"/>
          <w:lang w:val="en-US" w:eastAsia="zh-CN"/>
        </w:rPr>
        <w:t>对人结肠癌C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0"/>
          <w:szCs w:val="30"/>
          <w:lang w:val="en-US" w:eastAsia="zh-CN"/>
        </w:rPr>
        <w:t>aco2</w:t>
      </w:r>
      <w:bookmarkStart w:id="0" w:name="_GoBack"/>
      <w:bookmarkEnd w:id="0"/>
      <w:r>
        <w:rPr>
          <w:rFonts w:hint="default" w:ascii="Times New Roman" w:hAnsi="Times New Roman" w:eastAsia="黑体" w:cs="Times New Roman"/>
          <w:b w:val="0"/>
          <w:bCs w:val="0"/>
          <w:color w:val="auto"/>
          <w:sz w:val="30"/>
          <w:szCs w:val="30"/>
          <w:lang w:val="en-US" w:eastAsia="zh-CN"/>
        </w:rPr>
        <w:t>细胞生物学功能的影响</w:t>
      </w:r>
    </w:p>
    <w:p>
      <w:pPr>
        <w:pStyle w:val="7"/>
        <w:spacing w:line="400" w:lineRule="exact"/>
        <w:jc w:val="center"/>
        <w:rPr>
          <w:rFonts w:hint="default" w:ascii="Times New Roman" w:hAnsi="Times New Roman" w:cs="Times New Roman"/>
          <w:bCs/>
          <w:sz w:val="24"/>
          <w:szCs w:val="24"/>
        </w:rPr>
      </w:pPr>
    </w:p>
    <w:p>
      <w:pPr>
        <w:pStyle w:val="7"/>
        <w:spacing w:line="400" w:lineRule="exact"/>
        <w:jc w:val="center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研 究 生：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刘会芳</w:t>
      </w:r>
    </w:p>
    <w:p>
      <w:pPr>
        <w:pStyle w:val="7"/>
        <w:spacing w:line="400" w:lineRule="exact"/>
        <w:jc w:val="center"/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指导教师：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韩双印</w:t>
      </w:r>
    </w:p>
    <w:p>
      <w:pPr>
        <w:pStyle w:val="7"/>
        <w:spacing w:line="400" w:lineRule="exact"/>
        <w:jc w:val="center"/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24"/>
          <w:szCs w:val="24"/>
          <w:lang w:val="en-US" w:eastAsia="zh-CN"/>
        </w:rPr>
        <w:t>摘要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24"/>
          <w:szCs w:val="24"/>
          <w:lang w:val="en-US" w:eastAsia="zh-CN"/>
        </w:rPr>
        <w:t>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探讨miRNA（miR-138、miR-145）对人结肠癌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Caco2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 xml:space="preserve"> 细胞迁移、增殖及细胞周期等生物学行为的影响及对增殖相关蛋白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c-myc表达水平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lang w:val="en-US" w:eastAsia="zh-CN"/>
        </w:rPr>
        <w:t>的影响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。以期为后续进一步研究miR-138、miR-145 在结肠癌中的生物学功能和具体调控机制，从而为结肠癌早期诊断及治疗提供实验依据。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lang w:val="en-US" w:eastAsia="zh-CN"/>
        </w:rPr>
        <w:t>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构建miR-138、miR-145及阴性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对照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lang w:eastAsia="zh-CN"/>
        </w:rPr>
        <w:t>过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表达的质粒，并培养结肠癌caco2细胞，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lang w:val="en-US" w:eastAsia="zh-CN"/>
        </w:rPr>
        <w:t>将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实验分为3组进行：miR-138组、miR-145组及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对照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lang w:eastAsia="zh-CN"/>
        </w:rPr>
        <w:t>组。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lang w:val="en-US" w:eastAsia="zh-CN"/>
        </w:rPr>
        <w:t>采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用脂质体转染法将miR-138组、miR-145及阴性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对照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lang w:eastAsia="zh-CN"/>
        </w:rPr>
        <w:t>过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表达的质粒转入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Caco2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细胞，并于不同时间点在倒置荧光显微镜下观察细胞生长状态及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转染效率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采用细胞划痕实验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eastAsia="zh-CN"/>
        </w:rPr>
        <w:t>检测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miR-138、miR-145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转染结肠癌Caco2细胞后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</w:rPr>
        <w:t>对细胞迁移的影响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eastAsia="zh-CN"/>
        </w:rPr>
        <w:t>；以噻唑蓝（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MTT）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eastAsia="zh-CN"/>
        </w:rPr>
        <w:t>增殖试验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检测miR-138、miR-145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转染结肠癌Caco2细胞后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对细胞增殖的影响；用流式细胞术检测miR-138、miR-145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转染结肠癌Caco2细胞后对细胞周期的影响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。分别提取miR-138、miR-145转染组及阴性对照组细胞总蛋白，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用免疫印迹法检测miR-138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miR-145转染结肠癌Caco2细胞后对增殖相关蛋白c-myc表达水平的影响。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lang w:val="en-US" w:eastAsia="zh-CN"/>
        </w:rPr>
        <w:t>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Caco2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 xml:space="preserve"> 细胞转染miR-138、miR-145及阴性对照过表达质粒后，miR-138组、miR-145组细胞划痕愈合速度较阴性对照组细胞划痕愈合速度较慢，差异有统计学意义（</w:t>
      </w:r>
      <w:r>
        <w:rPr>
          <w:rFonts w:hint="default" w:ascii="Times New Roman" w:hAnsi="Times New Roman" w:cs="Times New Roman" w:eastAsiaTheme="minorEastAsia"/>
          <w:b w:val="0"/>
          <w:bCs w:val="0"/>
          <w:i/>
          <w:iCs/>
          <w:color w:val="auto"/>
          <w:sz w:val="24"/>
          <w:szCs w:val="24"/>
          <w:lang w:val="en-US" w:eastAsia="zh-CN"/>
        </w:rPr>
        <w:t>p＜0.05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）。miR-138组、miR-145组细胞增殖活力与对照组相比明显受到抑制，差异有统计学意义（</w:t>
      </w:r>
      <w:r>
        <w:rPr>
          <w:rFonts w:hint="default" w:ascii="Times New Roman" w:hAnsi="Times New Roman" w:cs="Times New Roman" w:eastAsiaTheme="minorEastAsia"/>
          <w:b w:val="0"/>
          <w:bCs w:val="0"/>
          <w:i/>
          <w:iCs/>
          <w:color w:val="auto"/>
          <w:sz w:val="24"/>
          <w:szCs w:val="24"/>
          <w:lang w:val="en-US" w:eastAsia="zh-CN"/>
        </w:rPr>
        <w:t>p＜0.05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），同时miR-138组、miR-145组细胞与对照组细胞相比，G1期百分比增高，差异有统计学意义（</w:t>
      </w:r>
      <w:r>
        <w:rPr>
          <w:rFonts w:hint="default" w:ascii="Times New Roman" w:hAnsi="Times New Roman" w:cs="Times New Roman" w:eastAsiaTheme="minorEastAsia"/>
          <w:b w:val="0"/>
          <w:bCs w:val="0"/>
          <w:i/>
          <w:iCs/>
          <w:color w:val="auto"/>
          <w:sz w:val="24"/>
          <w:szCs w:val="24"/>
          <w:lang w:val="en-US" w:eastAsia="zh-CN"/>
        </w:rPr>
        <w:t>p＜0.05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），S 期、G2期百分比则无明显变化（</w:t>
      </w:r>
      <w:r>
        <w:rPr>
          <w:rFonts w:hint="default" w:ascii="Times New Roman" w:hAnsi="Times New Roman" w:cs="Times New Roman" w:eastAsiaTheme="minorEastAsia"/>
          <w:b w:val="0"/>
          <w:bCs w:val="0"/>
          <w:i/>
          <w:iCs/>
          <w:color w:val="auto"/>
          <w:sz w:val="24"/>
          <w:szCs w:val="24"/>
          <w:lang w:val="en-US" w:eastAsia="zh-CN"/>
        </w:rPr>
        <w:t>p＞0.05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），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免疫印迹法检测发现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miR-138组、miR-145组的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Caco2细胞中c-myc蛋白表达水平较对照组降低。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MiR-138、miR-145在结肠癌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Caco2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细胞中过表达, 可以抑制细胞的迁移和增殖能力，并可使细胞发生G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val="en-US" w:eastAsia="zh-CN"/>
        </w:rPr>
        <w:t>期阻滞,减慢细胞周期进程。同时miR-138、miR-145可以负调控增殖相关蛋白c-myc的表达，提示miR-138、miR-145可能通过负调控c-myc蛋白的表达，从而抑制细胞的增殖。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bCs/>
          <w:color w:val="auto"/>
          <w:sz w:val="24"/>
          <w:szCs w:val="24"/>
          <w:lang w:val="en-US" w:eastAsia="zh-CN"/>
        </w:rPr>
        <w:t xml:space="preserve">关键词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细胞迁移；细胞增殖；细胞周期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结肠癌；</w:t>
      </w: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微小核糖核酸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默认字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8257A"/>
    <w:rsid w:val="03B04B7F"/>
    <w:rsid w:val="03B43058"/>
    <w:rsid w:val="0D561E9F"/>
    <w:rsid w:val="19C55F24"/>
    <w:rsid w:val="25B6015B"/>
    <w:rsid w:val="35E355CE"/>
    <w:rsid w:val="4059443D"/>
    <w:rsid w:val="4B194FA1"/>
    <w:rsid w:val="672D2AEB"/>
    <w:rsid w:val="73C762A3"/>
    <w:rsid w:val="74CC7004"/>
    <w:rsid w:val="7C914C5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Strong"/>
    <w:basedOn w:val="3"/>
    <w:qFormat/>
    <w:uiPriority w:val="0"/>
  </w:style>
  <w:style w:type="character" w:styleId="5">
    <w:name w:val="annotation reference"/>
    <w:basedOn w:val="3"/>
    <w:uiPriority w:val="0"/>
    <w:rPr>
      <w:sz w:val="21"/>
      <w:szCs w:val="21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QD</dc:creator>
  <cp:lastModifiedBy>QD</cp:lastModifiedBy>
  <dcterms:modified xsi:type="dcterms:W3CDTF">2016-05-11T13:47:03Z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