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99C" w:rsidRDefault="0090399C" w:rsidP="0090399C">
      <w:pPr>
        <w:jc w:val="center"/>
        <w:rPr>
          <w:rFonts w:ascii="黑体" w:eastAsia="黑体" w:hAnsi="黑体" w:cs="Times New Roman"/>
          <w:bCs/>
          <w:sz w:val="30"/>
          <w:szCs w:val="30"/>
        </w:rPr>
      </w:pPr>
      <w:r w:rsidRPr="0090399C">
        <w:rPr>
          <w:rFonts w:ascii="黑体" w:eastAsia="黑体" w:hAnsi="黑体" w:cs="Times New Roman"/>
          <w:bCs/>
          <w:sz w:val="30"/>
          <w:szCs w:val="30"/>
        </w:rPr>
        <w:t>中老年T2DM</w:t>
      </w:r>
      <w:r w:rsidRPr="0090399C">
        <w:rPr>
          <w:rFonts w:ascii="黑体" w:eastAsia="黑体" w:hAnsi="黑体" w:cs="Times New Roman" w:hint="eastAsia"/>
          <w:bCs/>
          <w:sz w:val="30"/>
          <w:szCs w:val="30"/>
        </w:rPr>
        <w:t>患者体脂肪率、血清骨硬化蛋白与骨骼健康的相关性分析</w:t>
      </w:r>
    </w:p>
    <w:p w:rsidR="0090399C" w:rsidRPr="0090399C" w:rsidRDefault="0090399C" w:rsidP="0090399C">
      <w:pPr>
        <w:jc w:val="center"/>
        <w:rPr>
          <w:rFonts w:ascii="Times New Roman" w:eastAsia="宋体" w:hAnsi="Times New Roman" w:cs="Times New Roman" w:hint="eastAsia"/>
          <w:sz w:val="30"/>
          <w:szCs w:val="30"/>
        </w:rPr>
      </w:pPr>
    </w:p>
    <w:p w:rsidR="0090399C" w:rsidRPr="0090399C" w:rsidRDefault="0090399C" w:rsidP="0090399C">
      <w:pPr>
        <w:ind w:firstLineChars="200" w:firstLine="480"/>
        <w:jc w:val="center"/>
        <w:rPr>
          <w:rFonts w:asciiTheme="minorEastAsia" w:hAnsiTheme="minorEastAsia" w:cs="Times New Roman"/>
          <w:bCs/>
          <w:sz w:val="24"/>
          <w:szCs w:val="24"/>
          <w:lang w:val="x-none" w:eastAsia="x-none"/>
        </w:rPr>
      </w:pPr>
      <w:proofErr w:type="spellStart"/>
      <w:r w:rsidRPr="0090399C">
        <w:rPr>
          <w:rFonts w:asciiTheme="minorEastAsia" w:hAnsiTheme="minorEastAsia" w:cs="Times New Roman" w:hint="eastAsia"/>
          <w:bCs/>
          <w:sz w:val="24"/>
          <w:szCs w:val="24"/>
          <w:lang w:val="x-none" w:eastAsia="x-none"/>
        </w:rPr>
        <w:t>研究生：景春贝</w:t>
      </w:r>
      <w:proofErr w:type="spellEnd"/>
    </w:p>
    <w:p w:rsidR="0090399C" w:rsidRDefault="0090399C" w:rsidP="0090399C">
      <w:pPr>
        <w:ind w:firstLineChars="200" w:firstLine="480"/>
        <w:jc w:val="center"/>
        <w:rPr>
          <w:rFonts w:asciiTheme="minorEastAsia" w:hAnsiTheme="minorEastAsia" w:cs="Times New Roman"/>
          <w:bCs/>
          <w:sz w:val="24"/>
          <w:szCs w:val="24"/>
          <w:lang w:val="x-none"/>
        </w:rPr>
      </w:pPr>
      <w:proofErr w:type="spellStart"/>
      <w:r>
        <w:rPr>
          <w:rFonts w:asciiTheme="minorEastAsia" w:hAnsiTheme="minorEastAsia" w:cs="Times New Roman"/>
          <w:bCs/>
          <w:sz w:val="24"/>
          <w:szCs w:val="24"/>
          <w:lang w:val="x-none" w:eastAsia="x-none"/>
        </w:rPr>
        <w:t>指导老师</w:t>
      </w:r>
      <w:r w:rsidRPr="0090399C">
        <w:rPr>
          <w:rFonts w:asciiTheme="minorEastAsia" w:hAnsiTheme="minorEastAsia" w:cs="Times New Roman"/>
          <w:bCs/>
          <w:sz w:val="24"/>
          <w:szCs w:val="24"/>
          <w:lang w:val="x-none" w:eastAsia="x-none"/>
        </w:rPr>
        <w:t>：</w:t>
      </w:r>
      <w:r>
        <w:rPr>
          <w:rFonts w:asciiTheme="minorEastAsia" w:hAnsiTheme="minorEastAsia" w:cs="Times New Roman"/>
          <w:bCs/>
          <w:sz w:val="24"/>
          <w:szCs w:val="24"/>
          <w:lang w:val="x-none" w:eastAsia="x-none"/>
        </w:rPr>
        <w:t>赵志刚</w:t>
      </w:r>
      <w:proofErr w:type="spellEnd"/>
      <w:r>
        <w:rPr>
          <w:rFonts w:asciiTheme="minorEastAsia" w:hAnsiTheme="minorEastAsia" w:cs="Times New Roman" w:hint="eastAsia"/>
          <w:bCs/>
          <w:sz w:val="24"/>
          <w:szCs w:val="24"/>
          <w:lang w:val="x-none"/>
        </w:rPr>
        <w:t xml:space="preserve"> 汪艳芳</w:t>
      </w:r>
    </w:p>
    <w:p w:rsidR="0090399C" w:rsidRDefault="0090399C" w:rsidP="0090399C">
      <w:pPr>
        <w:ind w:firstLineChars="200" w:firstLine="480"/>
        <w:jc w:val="center"/>
        <w:rPr>
          <w:rFonts w:asciiTheme="minorEastAsia" w:hAnsiTheme="minorEastAsia" w:cs="Times New Roman"/>
          <w:bCs/>
          <w:sz w:val="24"/>
          <w:szCs w:val="24"/>
          <w:lang w:val="x-none"/>
        </w:rPr>
      </w:pPr>
    </w:p>
    <w:p w:rsidR="0090399C" w:rsidRPr="0090399C" w:rsidRDefault="0090399C" w:rsidP="00A96F96">
      <w:pPr>
        <w:ind w:firstLineChars="200" w:firstLine="600"/>
        <w:jc w:val="center"/>
        <w:rPr>
          <w:rFonts w:ascii="黑体" w:eastAsia="黑体" w:hAnsi="黑体" w:cs="Times New Roman" w:hint="eastAsia"/>
          <w:bCs/>
          <w:sz w:val="30"/>
          <w:szCs w:val="30"/>
          <w:lang w:val="x-none"/>
        </w:rPr>
      </w:pPr>
      <w:r w:rsidRPr="00A96F96">
        <w:rPr>
          <w:rFonts w:ascii="黑体" w:eastAsia="黑体" w:hAnsi="黑体" w:cs="Times New Roman"/>
          <w:bCs/>
          <w:sz w:val="30"/>
          <w:szCs w:val="30"/>
          <w:lang w:val="x-none"/>
        </w:rPr>
        <w:t>摘要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目的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 w:hint="eastAsia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对比分析中老年</w:t>
      </w:r>
      <w:r w:rsidR="00A96F96" w:rsidRPr="00A96F96">
        <w:rPr>
          <w:rFonts w:ascii="黑体" w:eastAsia="黑体" w:hAnsi="黑体" w:cs="Times New Roman" w:hint="eastAsia"/>
          <w:bCs/>
          <w:sz w:val="24"/>
          <w:szCs w:val="24"/>
        </w:rPr>
        <w:t>2型糖尿病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（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Type 2 diabetes mellitus,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患者</w:t>
      </w:r>
      <w:r w:rsidR="00A96F96" w:rsidRPr="00A96F96">
        <w:rPr>
          <w:rFonts w:ascii="黑体" w:eastAsia="黑体" w:hAnsi="黑体" w:cs="Times New Roman" w:hint="eastAsia"/>
          <w:bCs/>
          <w:sz w:val="24"/>
          <w:szCs w:val="24"/>
        </w:rPr>
        <w:t>骨密度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（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 xml:space="preserve">Bone mineral density, 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、血清总</w:t>
      </w:r>
      <w:r w:rsidRPr="0090399C">
        <w:rPr>
          <w:rFonts w:ascii="黑体" w:eastAsia="黑体" w:hAnsi="黑体" w:cs="Times New Roman"/>
          <w:bCs/>
          <w:sz w:val="24"/>
          <w:szCs w:val="24"/>
        </w:rPr>
        <w:t>Ⅰ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型前胶原氨基端延长肽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（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bookmarkStart w:id="0" w:name="_GoBack"/>
      <w:bookmarkEnd w:id="0"/>
      <w:r w:rsidRPr="0090399C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、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sym w:font="Symbol" w:char="F062"/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-胶原特殊序列</w:t>
      </w:r>
      <w:bookmarkStart w:id="1" w:name="OLE_LINK1"/>
      <w:bookmarkStart w:id="2" w:name="OLE_LINK2"/>
      <w:bookmarkStart w:id="3" w:name="OLE_LINK3"/>
      <w:r w:rsidRPr="0090399C">
        <w:rPr>
          <w:rFonts w:ascii="Times New Roman" w:eastAsia="黑体" w:hAnsi="Times New Roman" w:cs="Times New Roman"/>
          <w:bCs/>
          <w:sz w:val="24"/>
          <w:szCs w:val="24"/>
        </w:rPr>
        <w:t>（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sym w:font="Symbol" w:char="F062"/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-</w:t>
      </w:r>
      <w:proofErr w:type="spellStart"/>
      <w:r w:rsidRPr="0090399C">
        <w:rPr>
          <w:rFonts w:ascii="Times New Roman" w:eastAsia="黑体" w:hAnsi="Times New Roman" w:cs="Times New Roman"/>
          <w:bCs/>
          <w:sz w:val="24"/>
          <w:szCs w:val="24"/>
        </w:rPr>
        <w:t>CrossLaps</w:t>
      </w:r>
      <w:bookmarkEnd w:id="1"/>
      <w:bookmarkEnd w:id="2"/>
      <w:bookmarkEnd w:id="3"/>
      <w:proofErr w:type="spellEnd"/>
      <w:r w:rsidRPr="0090399C">
        <w:rPr>
          <w:rFonts w:ascii="Times New Roman" w:eastAsia="黑体" w:hAnsi="Times New Roman" w:cs="Times New Roman"/>
          <w:bCs/>
          <w:sz w:val="24"/>
          <w:szCs w:val="24"/>
        </w:rPr>
        <w:t>,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 xml:space="preserve"> 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的变化，及</w:t>
      </w:r>
      <w:r w:rsidR="00A96F96" w:rsidRPr="00A96F96">
        <w:rPr>
          <w:rFonts w:ascii="黑体" w:eastAsia="黑体" w:hAnsi="黑体" w:cs="Times New Roman" w:hint="eastAsia"/>
          <w:bCs/>
          <w:sz w:val="24"/>
          <w:szCs w:val="24"/>
        </w:rPr>
        <w:t>骨硬化蛋白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（</w:t>
      </w:r>
      <w:proofErr w:type="spellStart"/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Sclerostin</w:t>
      </w:r>
      <w:proofErr w:type="spellEnd"/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 xml:space="preserve">, 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="00A96F96" w:rsidRPr="00A96F96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的变化。探讨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中老年患者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A96F96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变化与血清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及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的相关性，分析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中老年患者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AB2F28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的变化对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及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的影响。</w:t>
      </w:r>
      <w:r w:rsidRPr="0090399C">
        <w:rPr>
          <w:rFonts w:ascii="黑体" w:eastAsia="黑体" w:hAnsi="黑体" w:cs="Times New Roman"/>
          <w:bCs/>
          <w:sz w:val="24"/>
          <w:szCs w:val="24"/>
        </w:rPr>
        <w:t>通过观察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/>
          <w:bCs/>
          <w:sz w:val="24"/>
          <w:szCs w:val="24"/>
        </w:rPr>
        <w:t>与血清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与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及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的相关性，综合分析两者对骨骼健康的影响。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 xml:space="preserve">方法  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1.</w:t>
      </w:r>
      <w:bookmarkStart w:id="4" w:name="OLE_LINK14"/>
      <w:r w:rsidRPr="0090399C">
        <w:rPr>
          <w:rFonts w:ascii="黑体" w:eastAsia="黑体" w:hAnsi="黑体" w:cs="Times New Roman" w:hint="eastAsia"/>
          <w:bCs/>
          <w:sz w:val="24"/>
          <w:szCs w:val="24"/>
        </w:rPr>
        <w:t>研究对象</w:t>
      </w:r>
      <w:bookmarkEnd w:id="4"/>
      <w:r w:rsidRPr="0090399C">
        <w:rPr>
          <w:rFonts w:ascii="黑体" w:eastAsia="黑体" w:hAnsi="黑体" w:cs="Times New Roman" w:hint="eastAsia"/>
          <w:bCs/>
          <w:sz w:val="24"/>
          <w:szCs w:val="24"/>
        </w:rPr>
        <w:t>：连续收集</w:t>
      </w:r>
      <w:r w:rsidRPr="0090399C">
        <w:rPr>
          <w:rFonts w:ascii="黑体" w:eastAsia="黑体" w:hAnsi="黑体" w:cs="Times New Roman" w:hint="eastAsia"/>
          <w:sz w:val="24"/>
          <w:szCs w:val="24"/>
        </w:rPr>
        <w:t>2014年6月～2015年1月就诊于河南省人民医院内分泌科的50岁以上</w:t>
      </w:r>
      <w:r w:rsidRPr="0090399C">
        <w:rPr>
          <w:rFonts w:ascii="Times New Roman" w:eastAsia="黑体" w:hAnsi="Times New Roman" w:cs="Times New Roman"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sz w:val="24"/>
          <w:szCs w:val="24"/>
        </w:rPr>
        <w:t>住院患者128例，选取同期体检健康人群64例为对照组。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90399C">
        <w:rPr>
          <w:rFonts w:ascii="黑体" w:eastAsia="黑体" w:hAnsi="黑体" w:cs="Times New Roman" w:hint="eastAsia"/>
          <w:sz w:val="24"/>
          <w:szCs w:val="24"/>
        </w:rPr>
        <w:t>2.收集受试者一般资料，专人测量受试者身高、体重并计算体重指数=体重</w:t>
      </w:r>
      <w:r w:rsidRPr="0090399C">
        <w:rPr>
          <w:rFonts w:ascii="Times New Roman" w:eastAsia="黑体" w:hAnsi="Times New Roman" w:cs="Times New Roman"/>
          <w:sz w:val="24"/>
          <w:szCs w:val="24"/>
        </w:rPr>
        <w:t>（</w:t>
      </w:r>
      <w:r w:rsidRPr="0090399C">
        <w:rPr>
          <w:rFonts w:ascii="Times New Roman" w:eastAsia="黑体" w:hAnsi="Times New Roman" w:cs="Times New Roman"/>
          <w:sz w:val="24"/>
          <w:szCs w:val="24"/>
        </w:rPr>
        <w:t>Kg</w:t>
      </w:r>
      <w:r w:rsidRPr="0090399C">
        <w:rPr>
          <w:rFonts w:ascii="Times New Roman" w:eastAsia="黑体" w:hAnsi="Times New Roman" w:cs="Times New Roman"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sz w:val="24"/>
          <w:szCs w:val="24"/>
        </w:rPr>
        <w:t>/身高</w:t>
      </w:r>
      <w:r w:rsidRPr="0090399C">
        <w:rPr>
          <w:rFonts w:ascii="Times New Roman" w:eastAsia="黑体" w:hAnsi="Times New Roman" w:cs="Times New Roman"/>
          <w:sz w:val="24"/>
          <w:szCs w:val="24"/>
        </w:rPr>
        <w:t>（</w:t>
      </w:r>
      <w:r w:rsidRPr="0090399C">
        <w:rPr>
          <w:rFonts w:ascii="Times New Roman" w:eastAsia="黑体" w:hAnsi="Times New Roman" w:cs="Times New Roman"/>
          <w:sz w:val="24"/>
          <w:szCs w:val="24"/>
        </w:rPr>
        <w:t>m</w:t>
      </w:r>
      <w:r w:rsidRPr="0090399C">
        <w:rPr>
          <w:rFonts w:ascii="Times New Roman" w:eastAsia="黑体" w:hAnsi="Times New Roman" w:cs="Times New Roman"/>
          <w:sz w:val="24"/>
          <w:szCs w:val="24"/>
          <w:vertAlign w:val="superscript"/>
        </w:rPr>
        <w:t>2</w:t>
      </w:r>
      <w:r w:rsidRPr="0090399C">
        <w:rPr>
          <w:rFonts w:ascii="Times New Roman" w:eastAsia="黑体" w:hAnsi="Times New Roman" w:cs="Times New Roman"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sz w:val="24"/>
          <w:szCs w:val="24"/>
        </w:rPr>
        <w:t>。同时采集受试者空腹静脉血留取血清标本。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3.双能X线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（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Dual energy x-ray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，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DEXA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测定所有受试者正位腰椎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（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L1-L4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、左侧股骨BMD及相应部位（正位腰椎、左侧股骨）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，分析血清生化指标钙、磷、低密度脂蛋白、高密度脂蛋白、尿素、肌</w:t>
      </w:r>
      <w:proofErr w:type="gramStart"/>
      <w:r w:rsidRPr="0090399C">
        <w:rPr>
          <w:rFonts w:ascii="黑体" w:eastAsia="黑体" w:hAnsi="黑体" w:cs="Times New Roman" w:hint="eastAsia"/>
          <w:bCs/>
          <w:sz w:val="24"/>
          <w:szCs w:val="24"/>
        </w:rPr>
        <w:t>酐</w:t>
      </w:r>
      <w:proofErr w:type="gramEnd"/>
      <w:r w:rsidRPr="0090399C">
        <w:rPr>
          <w:rFonts w:ascii="黑体" w:eastAsia="黑体" w:hAnsi="黑体" w:cs="Times New Roman" w:hint="eastAsia"/>
          <w:bCs/>
          <w:sz w:val="24"/>
          <w:szCs w:val="24"/>
        </w:rPr>
        <w:t>以及糖化血红蛋白、空腹血糖、血清碱性磷酸酶水平。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4.根据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诊断标准，所有受试者分为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组和非糖尿病组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（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Non-DM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）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，通过比较两组间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及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了解中老年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患者骨骼健康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lastRenderedPageBreak/>
        <w:t>状况。选取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组通过</w:t>
      </w:r>
      <w:r w:rsidRPr="0090399C">
        <w:rPr>
          <w:rFonts w:ascii="Times New Roman" w:eastAsia="黑体" w:hAnsi="Times New Roman" w:cs="Times New Roman"/>
          <w:bCs/>
          <w:i/>
          <w:sz w:val="24"/>
          <w:szCs w:val="24"/>
        </w:rPr>
        <w:t>Pearson</w:t>
      </w:r>
      <w:r w:rsidRPr="0090399C">
        <w:rPr>
          <w:rFonts w:ascii="黑体" w:eastAsia="黑体" w:hAnsi="黑体" w:cs="Times New Roman"/>
          <w:bCs/>
          <w:sz w:val="24"/>
          <w:szCs w:val="24"/>
        </w:rPr>
        <w:t>相关分析，了解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中老年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患者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/>
          <w:bCs/>
          <w:sz w:val="24"/>
          <w:szCs w:val="24"/>
        </w:rPr>
        <w:t>水平是否与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及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具有相关性。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 w:hint="eastAsia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5.统计分析：所有数据采用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SPSS19.0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进行分析，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＜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0.05差异有统计学意义。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 xml:space="preserve">结果 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1.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组</w:t>
      </w:r>
      <w:bookmarkStart w:id="5" w:name="OLE_LINK5"/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黑体" w:eastAsia="黑体" w:hAnsi="黑体" w:cs="Times New Roman"/>
          <w:bCs/>
          <w:sz w:val="24"/>
          <w:szCs w:val="24"/>
        </w:rPr>
        <w:t>(35.17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±1</w:t>
      </w:r>
      <w:r w:rsidRPr="0090399C">
        <w:rPr>
          <w:rFonts w:ascii="黑体" w:eastAsia="黑体" w:hAnsi="黑体" w:cs="Times New Roman"/>
          <w:bCs/>
          <w:sz w:val="24"/>
          <w:szCs w:val="24"/>
        </w:rPr>
        <w:t>9.53)ng/mL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CTX(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0.44±0.26)ng/</w:t>
      </w:r>
      <w:r w:rsidRPr="0090399C">
        <w:rPr>
          <w:rFonts w:ascii="黑体" w:eastAsia="黑体" w:hAnsi="黑体" w:cs="Times New Roman"/>
          <w:bCs/>
          <w:sz w:val="24"/>
          <w:szCs w:val="24"/>
        </w:rPr>
        <w:t>mL</w:t>
      </w:r>
      <w:bookmarkEnd w:id="5"/>
      <w:r w:rsidRPr="0090399C">
        <w:rPr>
          <w:rFonts w:ascii="黑体" w:eastAsia="黑体" w:hAnsi="黑体" w:cs="Times New Roman"/>
          <w:bCs/>
          <w:sz w:val="24"/>
          <w:szCs w:val="24"/>
        </w:rPr>
        <w:t>均低于正常对照组</w:t>
      </w:r>
      <w:bookmarkStart w:id="6" w:name="OLE_LINK18"/>
      <w:bookmarkStart w:id="7" w:name="OLE_LINK23"/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黑体" w:eastAsia="黑体" w:hAnsi="黑体" w:cs="Times New Roman"/>
          <w:bCs/>
          <w:sz w:val="24"/>
          <w:szCs w:val="24"/>
        </w:rPr>
        <w:t>(42.41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±1</w:t>
      </w:r>
      <w:r w:rsidRPr="0090399C">
        <w:rPr>
          <w:rFonts w:ascii="黑体" w:eastAsia="黑体" w:hAnsi="黑体" w:cs="Times New Roman"/>
          <w:bCs/>
          <w:sz w:val="24"/>
          <w:szCs w:val="24"/>
        </w:rPr>
        <w:t>9.43)</w:t>
      </w:r>
      <w:bookmarkEnd w:id="6"/>
      <w:bookmarkEnd w:id="7"/>
      <w:r w:rsidRPr="0090399C">
        <w:rPr>
          <w:rFonts w:ascii="黑体" w:eastAsia="黑体" w:hAnsi="黑体" w:cs="Times New Roman"/>
          <w:bCs/>
          <w:sz w:val="24"/>
          <w:szCs w:val="24"/>
        </w:rPr>
        <w:t>ng/mL、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(0.53±0.20)ng/</w:t>
      </w:r>
      <w:r w:rsidRPr="0090399C">
        <w:rPr>
          <w:rFonts w:ascii="黑体" w:eastAsia="黑体" w:hAnsi="黑体" w:cs="Times New Roman"/>
          <w:bCs/>
          <w:sz w:val="24"/>
          <w:szCs w:val="24"/>
        </w:rPr>
        <w:t>mL,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 xml:space="preserve"> 而腰椎及股骨</w:t>
      </w:r>
      <w:bookmarkStart w:id="8" w:name="OLE_LINK16"/>
      <w:bookmarkStart w:id="9" w:name="OLE_LINK15"/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(1.11±0.16) cm</w:t>
      </w:r>
      <w:r w:rsidRPr="0090399C">
        <w:rPr>
          <w:rFonts w:ascii="黑体" w:eastAsia="黑体" w:hAnsi="黑体" w:cs="Times New Roman" w:hint="eastAsia"/>
          <w:bCs/>
          <w:sz w:val="24"/>
          <w:szCs w:val="24"/>
          <w:vertAlign w:val="superscript"/>
        </w:rPr>
        <w:t>2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/g、（0.98±0.15）cm</w:t>
      </w:r>
      <w:r w:rsidRPr="0090399C">
        <w:rPr>
          <w:rFonts w:ascii="黑体" w:eastAsia="黑体" w:hAnsi="黑体" w:cs="Times New Roman" w:hint="eastAsia"/>
          <w:bCs/>
          <w:sz w:val="24"/>
          <w:szCs w:val="24"/>
          <w:vertAlign w:val="superscript"/>
        </w:rPr>
        <w:t>2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/g与对照组(1.09±0.18) cm</w:t>
      </w:r>
      <w:r w:rsidRPr="0090399C">
        <w:rPr>
          <w:rFonts w:ascii="黑体" w:eastAsia="黑体" w:hAnsi="黑体" w:cs="Times New Roman" w:hint="eastAsia"/>
          <w:bCs/>
          <w:sz w:val="24"/>
          <w:szCs w:val="24"/>
          <w:vertAlign w:val="superscript"/>
        </w:rPr>
        <w:t>2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/g、(0.98±0.19) cm</w:t>
      </w:r>
      <w:r w:rsidRPr="0090399C">
        <w:rPr>
          <w:rFonts w:ascii="黑体" w:eastAsia="黑体" w:hAnsi="黑体" w:cs="Times New Roman" w:hint="eastAsia"/>
          <w:bCs/>
          <w:sz w:val="24"/>
          <w:szCs w:val="24"/>
          <w:vertAlign w:val="superscript"/>
        </w:rPr>
        <w:t>2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/g</w:t>
      </w:r>
      <w:bookmarkEnd w:id="8"/>
      <w:bookmarkEnd w:id="9"/>
      <w:r w:rsidRPr="0090399C">
        <w:rPr>
          <w:rFonts w:ascii="黑体" w:eastAsia="黑体" w:hAnsi="黑体" w:cs="Times New Roman" w:hint="eastAsia"/>
          <w:bCs/>
          <w:sz w:val="24"/>
          <w:szCs w:val="24"/>
        </w:rPr>
        <w:t>比较差异无统计学意义。血清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水平(224.92</w:t>
      </w:r>
      <w:r w:rsidRPr="0090399C">
        <w:rPr>
          <w:rFonts w:ascii="黑体" w:eastAsia="黑体" w:hAnsi="黑体" w:cs="Times New Roman"/>
          <w:sz w:val="24"/>
          <w:szCs w:val="24"/>
        </w:rPr>
        <w:t>±76.94)</w:t>
      </w:r>
      <w:proofErr w:type="spellStart"/>
      <w:r w:rsidRPr="0090399C">
        <w:rPr>
          <w:rFonts w:ascii="黑体" w:eastAsia="黑体" w:hAnsi="黑体" w:cs="Times New Roman"/>
          <w:sz w:val="24"/>
          <w:szCs w:val="24"/>
        </w:rPr>
        <w:t>pg</w:t>
      </w:r>
      <w:proofErr w:type="spellEnd"/>
      <w:r w:rsidRPr="0090399C">
        <w:rPr>
          <w:rFonts w:ascii="黑体" w:eastAsia="黑体" w:hAnsi="黑体" w:cs="Times New Roman"/>
          <w:sz w:val="24"/>
          <w:szCs w:val="24"/>
        </w:rPr>
        <w:t>/mL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、股骨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(23.79</w:t>
      </w:r>
      <w:r w:rsidRPr="0090399C">
        <w:rPr>
          <w:rFonts w:ascii="黑体" w:eastAsia="黑体" w:hAnsi="黑体" w:cs="Times New Roman"/>
          <w:sz w:val="24"/>
          <w:szCs w:val="24"/>
        </w:rPr>
        <w:t>±5.98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)%明显高于对照组 (</w:t>
      </w:r>
      <w:r w:rsidRPr="0090399C">
        <w:rPr>
          <w:rFonts w:ascii="黑体" w:eastAsia="黑体" w:hAnsi="黑体" w:cs="Times New Roman"/>
          <w:sz w:val="24"/>
          <w:szCs w:val="24"/>
        </w:rPr>
        <w:t xml:space="preserve"> 193.37±61.94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)</w:t>
      </w:r>
      <w:proofErr w:type="spellStart"/>
      <w:r w:rsidRPr="0090399C">
        <w:rPr>
          <w:rFonts w:ascii="黑体" w:eastAsia="黑体" w:hAnsi="黑体" w:cs="Times New Roman"/>
          <w:sz w:val="24"/>
          <w:szCs w:val="24"/>
        </w:rPr>
        <w:t>pg</w:t>
      </w:r>
      <w:proofErr w:type="spellEnd"/>
      <w:r w:rsidRPr="0090399C">
        <w:rPr>
          <w:rFonts w:ascii="黑体" w:eastAsia="黑体" w:hAnsi="黑体" w:cs="Times New Roman"/>
          <w:sz w:val="24"/>
          <w:szCs w:val="24"/>
        </w:rPr>
        <w:t>/mL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、（21.98±5.06)% （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>P ＜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0.05）。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2.相关性分析表明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股骨部位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与腰椎及股骨部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均呈明显负相关（r=-0.211，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=0.020；r=-0.287，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>P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 xml:space="preserve"> =0.001），而腰椎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与腰椎及股骨部位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均无明显相关(r=-0.017，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=0.854</w:t>
      </w:r>
      <w:r w:rsidRPr="0090399C">
        <w:rPr>
          <w:rFonts w:ascii="黑体" w:eastAsia="黑体" w:hAnsi="黑体" w:cs="Times New Roman"/>
          <w:bCs/>
          <w:sz w:val="24"/>
          <w:szCs w:val="24"/>
        </w:rPr>
        <w:t>；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r=-0.1</w:t>
      </w:r>
      <w:r w:rsidRPr="0090399C">
        <w:rPr>
          <w:rFonts w:ascii="黑体" w:eastAsia="黑体" w:hAnsi="黑体" w:cs="Times New Roman"/>
          <w:bCs/>
          <w:sz w:val="24"/>
          <w:szCs w:val="24"/>
        </w:rPr>
        <w:t>66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=0.0</w:t>
      </w:r>
      <w:r w:rsidRPr="0090399C">
        <w:rPr>
          <w:rFonts w:ascii="黑体" w:eastAsia="黑体" w:hAnsi="黑体" w:cs="Times New Roman"/>
          <w:bCs/>
          <w:sz w:val="24"/>
          <w:szCs w:val="24"/>
        </w:rPr>
        <w:t>64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)，股骨及腰椎部位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与骨代谢标志物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黑体" w:eastAsia="黑体" w:hAnsi="黑体" w:cs="Times New Roman"/>
          <w:bCs/>
          <w:sz w:val="24"/>
          <w:szCs w:val="24"/>
        </w:rPr>
        <w:t>（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r=0.042，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=0.702</w:t>
      </w:r>
      <w:r w:rsidRPr="0090399C">
        <w:rPr>
          <w:rFonts w:ascii="黑体" w:eastAsia="黑体" w:hAnsi="黑体" w:cs="Times New Roman"/>
          <w:bCs/>
          <w:sz w:val="24"/>
          <w:szCs w:val="24"/>
        </w:rPr>
        <w:t>；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r=-0.088，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=0.420</w:t>
      </w:r>
      <w:r w:rsidRPr="0090399C">
        <w:rPr>
          <w:rFonts w:ascii="黑体" w:eastAsia="黑体" w:hAnsi="黑体" w:cs="Times New Roman"/>
          <w:bCs/>
          <w:sz w:val="24"/>
          <w:szCs w:val="24"/>
        </w:rPr>
        <w:t>）、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 xml:space="preserve">CTX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（r=0.118，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=0.293</w:t>
      </w:r>
      <w:r w:rsidRPr="0090399C">
        <w:rPr>
          <w:rFonts w:ascii="黑体" w:eastAsia="黑体" w:hAnsi="黑体" w:cs="Times New Roman"/>
          <w:bCs/>
          <w:sz w:val="24"/>
          <w:szCs w:val="24"/>
        </w:rPr>
        <w:t>；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r=-0.086，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=0.0</w:t>
      </w:r>
      <w:r w:rsidRPr="0090399C">
        <w:rPr>
          <w:rFonts w:ascii="黑体" w:eastAsia="黑体" w:hAnsi="黑体" w:cs="Times New Roman"/>
          <w:bCs/>
          <w:sz w:val="24"/>
          <w:szCs w:val="24"/>
        </w:rPr>
        <w:t>94）均未表现出明显相关性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，两者与血清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值均呈正相关（r=0.265,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>P</w:t>
      </w:r>
      <w:r w:rsidRPr="0090399C">
        <w:rPr>
          <w:rFonts w:ascii="黑体" w:eastAsia="黑体" w:hAnsi="黑体" w:cs="Times New Roman"/>
          <w:bCs/>
          <w:i/>
          <w:sz w:val="24"/>
          <w:szCs w:val="24"/>
        </w:rPr>
        <w:t xml:space="preserve">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=0.016；r=0.303,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=0.005）；</w:t>
      </w:r>
    </w:p>
    <w:p w:rsidR="0090399C" w:rsidRPr="0090399C" w:rsidRDefault="0090399C" w:rsidP="00A96F96">
      <w:pPr>
        <w:ind w:firstLineChars="100" w:firstLine="240"/>
        <w:jc w:val="both"/>
        <w:rPr>
          <w:rFonts w:ascii="黑体" w:eastAsia="黑体" w:hAnsi="黑体" w:cs="Times New Roman" w:hint="eastAsia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血清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与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黑体" w:eastAsia="黑体" w:hAnsi="黑体" w:cs="Times New Roman"/>
          <w:bCs/>
          <w:sz w:val="24"/>
          <w:szCs w:val="24"/>
        </w:rPr>
        <w:t>均存在负相关（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r=-0.2</w:t>
      </w:r>
      <w:r w:rsidRPr="0090399C">
        <w:rPr>
          <w:rFonts w:ascii="黑体" w:eastAsia="黑体" w:hAnsi="黑体" w:cs="Times New Roman"/>
          <w:bCs/>
          <w:sz w:val="24"/>
          <w:szCs w:val="24"/>
        </w:rPr>
        <w:t>48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,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 xml:space="preserve">P 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=0.0</w:t>
      </w:r>
      <w:r w:rsidRPr="0090399C">
        <w:rPr>
          <w:rFonts w:ascii="黑体" w:eastAsia="黑体" w:hAnsi="黑体" w:cs="Times New Roman"/>
          <w:bCs/>
          <w:sz w:val="24"/>
          <w:szCs w:val="24"/>
        </w:rPr>
        <w:t>38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； r=-0.2</w:t>
      </w:r>
      <w:r w:rsidRPr="0090399C">
        <w:rPr>
          <w:rFonts w:ascii="黑体" w:eastAsia="黑体" w:hAnsi="黑体" w:cs="Times New Roman"/>
          <w:bCs/>
          <w:sz w:val="24"/>
          <w:szCs w:val="24"/>
        </w:rPr>
        <w:t>7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8,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>P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=0.0</w:t>
      </w:r>
      <w:r w:rsidRPr="0090399C">
        <w:rPr>
          <w:rFonts w:ascii="黑体" w:eastAsia="黑体" w:hAnsi="黑体" w:cs="Times New Roman"/>
          <w:bCs/>
          <w:sz w:val="24"/>
          <w:szCs w:val="24"/>
        </w:rPr>
        <w:t>26），与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腰椎及股骨部位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未见明显相关(</w:t>
      </w:r>
      <w:r w:rsidRPr="0090399C">
        <w:rPr>
          <w:rFonts w:ascii="黑体" w:eastAsia="黑体" w:hAnsi="黑体" w:cs="Times New Roman"/>
          <w:bCs/>
          <w:sz w:val="24"/>
          <w:szCs w:val="24"/>
        </w:rPr>
        <w:t>r=-0.013，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>P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</w:t>
      </w:r>
      <w:r w:rsidRPr="0090399C">
        <w:rPr>
          <w:rFonts w:ascii="黑体" w:eastAsia="黑体" w:hAnsi="黑体" w:cs="Times New Roman"/>
          <w:bCs/>
          <w:sz w:val="24"/>
          <w:szCs w:val="24"/>
        </w:rPr>
        <w:t>0.904； r=-0.142，</w:t>
      </w:r>
      <w:r w:rsidRPr="0090399C">
        <w:rPr>
          <w:rFonts w:ascii="黑体" w:eastAsia="黑体" w:hAnsi="黑体" w:cs="Times New Roman" w:hint="eastAsia"/>
          <w:bCs/>
          <w:i/>
          <w:sz w:val="24"/>
          <w:szCs w:val="24"/>
        </w:rPr>
        <w:t>P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=</w:t>
      </w:r>
      <w:r w:rsidRPr="0090399C">
        <w:rPr>
          <w:rFonts w:ascii="黑体" w:eastAsia="黑体" w:hAnsi="黑体" w:cs="Times New Roman"/>
          <w:bCs/>
          <w:sz w:val="24"/>
          <w:szCs w:val="24"/>
        </w:rPr>
        <w:t>0.199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)。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t>结论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/>
          <w:bCs/>
          <w:sz w:val="24"/>
          <w:szCs w:val="24"/>
        </w:rPr>
        <w:t>1.中老年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患者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BMD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与正常人群相比无明显差异，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P</w:t>
      </w:r>
      <w:r w:rsidRPr="0090399C">
        <w:rPr>
          <w:rFonts w:ascii="宋体" w:eastAsia="宋体" w:hAnsi="宋体" w:cs="宋体" w:hint="eastAsia"/>
          <w:bCs/>
          <w:sz w:val="24"/>
          <w:szCs w:val="24"/>
        </w:rPr>
        <w:t>Ⅰ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NP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CTX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水平较对照组偏低，骨代谢处于低转换水平。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/>
          <w:bCs/>
          <w:sz w:val="24"/>
          <w:szCs w:val="24"/>
        </w:rPr>
        <w:t>2.中老年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/>
          <w:bCs/>
          <w:sz w:val="24"/>
          <w:szCs w:val="24"/>
        </w:rPr>
        <w:t>患者高水平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黑体" w:eastAsia="黑体" w:hAnsi="黑体" w:cs="Times New Roman"/>
          <w:bCs/>
          <w:sz w:val="24"/>
          <w:szCs w:val="24"/>
        </w:rPr>
        <w:t>可能是影响骨量流失的重要原因，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水平的升高，可能参与了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患者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OP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的发病机制，是中老年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T2DM</w:t>
      </w:r>
      <w:r w:rsidRPr="0090399C">
        <w:rPr>
          <w:rFonts w:ascii="黑体" w:eastAsia="黑体" w:hAnsi="黑体" w:cs="Times New Roman" w:hint="eastAsia"/>
          <w:bCs/>
          <w:sz w:val="24"/>
          <w:szCs w:val="24"/>
        </w:rPr>
        <w:t>患者骨代谢能力降低的重要因素之一。</w:t>
      </w:r>
    </w:p>
    <w:p w:rsidR="0090399C" w:rsidRPr="0090399C" w:rsidRDefault="0090399C" w:rsidP="00A96F96">
      <w:pPr>
        <w:ind w:firstLineChars="200" w:firstLine="480"/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/>
          <w:bCs/>
          <w:sz w:val="24"/>
          <w:szCs w:val="24"/>
        </w:rPr>
        <w:t>3.高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FM%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、</w:t>
      </w:r>
      <w:r w:rsidRPr="0090399C">
        <w:rPr>
          <w:rFonts w:ascii="Times New Roman" w:eastAsia="黑体" w:hAnsi="Times New Roman" w:cs="Times New Roman"/>
          <w:bCs/>
          <w:sz w:val="24"/>
          <w:szCs w:val="24"/>
        </w:rPr>
        <w:t>SOST</w:t>
      </w:r>
      <w:r w:rsidRPr="0090399C">
        <w:rPr>
          <w:rFonts w:ascii="黑体" w:eastAsia="黑体" w:hAnsi="黑体" w:cs="Times New Roman"/>
          <w:bCs/>
          <w:sz w:val="24"/>
          <w:szCs w:val="24"/>
        </w:rPr>
        <w:t>水平是影响中老年T2DM患者骨骼健康的不利因素。</w:t>
      </w:r>
    </w:p>
    <w:p w:rsidR="0090399C" w:rsidRPr="0090399C" w:rsidRDefault="0090399C" w:rsidP="00A96F96">
      <w:pPr>
        <w:ind w:firstLineChars="200" w:firstLine="480"/>
        <w:rPr>
          <w:rFonts w:ascii="黑体" w:eastAsia="黑体" w:hAnsi="黑体" w:cs="Times New Roman" w:hint="eastAsia"/>
          <w:bCs/>
          <w:sz w:val="24"/>
          <w:szCs w:val="24"/>
        </w:rPr>
      </w:pPr>
    </w:p>
    <w:p w:rsidR="0090399C" w:rsidRPr="0090399C" w:rsidRDefault="0090399C" w:rsidP="00A96F96">
      <w:pPr>
        <w:jc w:val="both"/>
        <w:rPr>
          <w:rFonts w:ascii="黑体" w:eastAsia="黑体" w:hAnsi="黑体" w:cs="Times New Roman"/>
          <w:bCs/>
          <w:sz w:val="24"/>
          <w:szCs w:val="24"/>
        </w:rPr>
      </w:pPr>
      <w:r w:rsidRPr="0090399C">
        <w:rPr>
          <w:rFonts w:ascii="黑体" w:eastAsia="黑体" w:hAnsi="黑体" w:cs="Times New Roman" w:hint="eastAsia"/>
          <w:bCs/>
          <w:sz w:val="24"/>
          <w:szCs w:val="24"/>
        </w:rPr>
        <w:lastRenderedPageBreak/>
        <w:t>关键词 2型糖尿病；体脂肪率；骨硬化蛋白；骨密度；骨代谢</w:t>
      </w:r>
    </w:p>
    <w:p w:rsidR="0090399C" w:rsidRPr="0090399C" w:rsidRDefault="0090399C" w:rsidP="0090399C">
      <w:pPr>
        <w:rPr>
          <w:rFonts w:ascii="Times New Roman" w:eastAsia="宋体" w:hAnsi="Times New Roman" w:cs="Times New Roman"/>
          <w:sz w:val="28"/>
          <w:szCs w:val="24"/>
        </w:rPr>
      </w:pPr>
      <w:r w:rsidRPr="0090399C">
        <w:rPr>
          <w:rFonts w:ascii="Times New Roman" w:eastAsia="宋体" w:hAnsi="Times New Roman" w:cs="Times New Roman"/>
          <w:sz w:val="28"/>
          <w:szCs w:val="24"/>
        </w:rPr>
        <w:br w:type="page"/>
      </w:r>
    </w:p>
    <w:p w:rsidR="008428EE" w:rsidRPr="0090399C" w:rsidRDefault="008428EE"/>
    <w:sectPr w:rsidR="008428EE" w:rsidRPr="00903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3F4"/>
    <w:rsid w:val="005923F4"/>
    <w:rsid w:val="008428EE"/>
    <w:rsid w:val="0090399C"/>
    <w:rsid w:val="00A96F96"/>
    <w:rsid w:val="00AB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4F8A3-9C15-450C-A336-3003F054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 cheng</dc:creator>
  <cp:keywords/>
  <dc:description/>
  <cp:lastModifiedBy>xian cheng</cp:lastModifiedBy>
  <cp:revision>2</cp:revision>
  <dcterms:created xsi:type="dcterms:W3CDTF">2016-05-11T15:36:00Z</dcterms:created>
  <dcterms:modified xsi:type="dcterms:W3CDTF">2016-05-11T16:00:00Z</dcterms:modified>
</cp:coreProperties>
</file>