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Style w:val="6"/>
          <w:rFonts w:hint="eastAsia" w:ascii="黑体" w:hAnsi="黑体" w:eastAsia="黑体" w:cs="黑体"/>
          <w:b w:val="0"/>
          <w:bCs w:val="0"/>
          <w:sz w:val="30"/>
          <w:szCs w:val="30"/>
        </w:rPr>
      </w:pPr>
      <w:bookmarkStart w:id="0" w:name="_Toc32094"/>
      <w:bookmarkStart w:id="1" w:name="_Toc393"/>
      <w:r>
        <w:rPr>
          <w:rStyle w:val="6"/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丙氨酸</w:t>
      </w:r>
      <w:r>
        <w:rPr>
          <w:rStyle w:val="6"/>
          <w:rFonts w:hint="eastAsia" w:ascii="黑体" w:hAnsi="黑体" w:eastAsia="黑体" w:cs="黑体"/>
          <w:b w:val="0"/>
          <w:bCs w:val="0"/>
          <w:sz w:val="30"/>
          <w:szCs w:val="30"/>
        </w:rPr>
        <w:t>转氨酶显著升高肝损伤</w:t>
      </w:r>
      <w:r>
        <w:rPr>
          <w:rStyle w:val="6"/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的病因及临床特点分析</w:t>
      </w:r>
    </w:p>
    <w:bookmarkEnd w:id="0"/>
    <w:bookmarkEnd w:id="1"/>
    <w:p>
      <w:pPr>
        <w:pStyle w:val="7"/>
        <w:spacing w:line="400" w:lineRule="exact"/>
        <w:jc w:val="center"/>
        <w:rPr>
          <w:rFonts w:hint="eastAsia" w:ascii="宋体" w:hAnsi="宋体"/>
          <w:bCs/>
          <w:sz w:val="24"/>
          <w:szCs w:val="24"/>
        </w:rPr>
      </w:pPr>
      <w:bookmarkStart w:id="2" w:name="_Toc8374"/>
    </w:p>
    <w:p>
      <w:pPr>
        <w:pStyle w:val="7"/>
        <w:spacing w:line="400" w:lineRule="exact"/>
        <w:jc w:val="center"/>
        <w:rPr>
          <w:rFonts w:hint="eastAsia"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研 究 生：</w:t>
      </w:r>
      <w:r>
        <w:rPr>
          <w:rFonts w:hint="eastAsia" w:ascii="宋体" w:hAnsi="宋体"/>
          <w:bCs/>
          <w:sz w:val="24"/>
          <w:szCs w:val="24"/>
          <w:lang w:eastAsia="zh-CN"/>
        </w:rPr>
        <w:t>郑丽娜</w:t>
      </w:r>
    </w:p>
    <w:p>
      <w:pPr>
        <w:jc w:val="center"/>
        <w:rPr>
          <w:rFonts w:hint="eastAsia" w:ascii="宋体" w:hAnsi="宋体"/>
          <w:bCs/>
          <w:sz w:val="24"/>
          <w:szCs w:val="24"/>
          <w:lang w:eastAsia="zh-CN"/>
        </w:rPr>
      </w:pPr>
      <w:r>
        <w:rPr>
          <w:rFonts w:hint="eastAsia" w:ascii="宋体" w:hAnsi="宋体"/>
          <w:bCs/>
          <w:sz w:val="24"/>
          <w:szCs w:val="24"/>
        </w:rPr>
        <w:t>指导教师：</w:t>
      </w:r>
      <w:r>
        <w:rPr>
          <w:rFonts w:hint="eastAsia" w:ascii="宋体" w:hAnsi="宋体"/>
          <w:bCs/>
          <w:sz w:val="24"/>
          <w:szCs w:val="24"/>
          <w:lang w:eastAsia="zh-CN"/>
        </w:rPr>
        <w:t>韩双印</w:t>
      </w:r>
    </w:p>
    <w:p>
      <w:pPr>
        <w:jc w:val="center"/>
        <w:rPr>
          <w:rFonts w:hint="eastAsia" w:ascii="宋体" w:hAnsi="宋体"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Cs/>
          <w:sz w:val="24"/>
          <w:szCs w:val="24"/>
          <w:lang w:val="en-US" w:eastAsia="zh-CN"/>
        </w:rPr>
        <w:t xml:space="preserve">          朱武凌</w:t>
      </w:r>
    </w:p>
    <w:p>
      <w:pP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</w:p>
    <w:bookmarkEnd w:id="2"/>
    <w:p>
      <w:pPr>
        <w:pStyle w:val="7"/>
        <w:spacing w:line="400" w:lineRule="exact"/>
        <w:jc w:val="center"/>
        <w:rPr>
          <w:rFonts w:hint="eastAsia" w:ascii="黑体" w:hAnsi="黑体" w:eastAsia="黑体"/>
          <w:bCs/>
          <w:sz w:val="24"/>
          <w:szCs w:val="24"/>
        </w:rPr>
      </w:pPr>
      <w:r>
        <w:rPr>
          <w:rFonts w:hint="eastAsia" w:ascii="黑体" w:hAnsi="黑体" w:eastAsia="黑体"/>
          <w:bCs/>
          <w:sz w:val="24"/>
          <w:szCs w:val="24"/>
        </w:rPr>
        <w:t>摘   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/>
          <w:bCs/>
          <w:sz w:val="24"/>
        </w:rPr>
      </w:pPr>
      <w:r>
        <w:rPr>
          <w:rFonts w:hint="eastAsia" w:ascii="黑体" w:hAnsi="黑体" w:eastAsia="黑体"/>
          <w:bCs/>
          <w:sz w:val="24"/>
        </w:rPr>
        <w:t>目的</w:t>
      </w:r>
      <w:r>
        <w:rPr>
          <w:rFonts w:hint="eastAsia" w:ascii="宋体" w:hAnsi="宋体"/>
          <w:bCs/>
          <w:sz w:val="24"/>
        </w:rPr>
        <w:t xml:space="preserve"> 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eastAsia="zh-CN"/>
        </w:rPr>
        <w:t>通过</w:t>
      </w:r>
      <w:r>
        <w:rPr>
          <w:rFonts w:hint="default" w:ascii="Times New Roman" w:hAnsi="Times New Roman" w:cs="Times New Roman"/>
          <w:sz w:val="24"/>
        </w:rPr>
        <w:t>不同病因肝损伤患者的</w:t>
      </w:r>
      <w:r>
        <w:rPr>
          <w:rFonts w:hint="eastAsia" w:ascii="Times New Roman" w:hAnsi="Times New Roman" w:cs="Times New Roman"/>
          <w:sz w:val="24"/>
          <w:lang w:eastAsia="zh-CN"/>
        </w:rPr>
        <w:t>丙氨酸转氨酶（</w:t>
      </w:r>
      <w:r>
        <w:rPr>
          <w:rFonts w:hint="default" w:ascii="Times New Roman" w:hAnsi="Times New Roman" w:cs="Times New Roman"/>
          <w:sz w:val="24"/>
        </w:rPr>
        <w:t>ALT</w:t>
      </w:r>
      <w:r>
        <w:rPr>
          <w:rFonts w:hint="eastAsia" w:ascii="Times New Roman" w:hAnsi="Times New Roman" w:cs="Times New Roman"/>
          <w:sz w:val="24"/>
          <w:lang w:eastAsia="zh-CN"/>
        </w:rPr>
        <w:t>）</w:t>
      </w:r>
      <w:r>
        <w:rPr>
          <w:rFonts w:hint="default" w:ascii="Times New Roman" w:hAnsi="Times New Roman" w:cs="Times New Roman"/>
          <w:sz w:val="24"/>
        </w:rPr>
        <w:t>升高幅度</w:t>
      </w:r>
      <w:r>
        <w:rPr>
          <w:rFonts w:hint="eastAsia" w:ascii="Times New Roman" w:hAnsi="Times New Roman" w:cs="Times New Roman"/>
          <w:sz w:val="24"/>
          <w:lang w:eastAsia="zh-CN"/>
        </w:rPr>
        <w:t>的分析</w:t>
      </w:r>
      <w:r>
        <w:rPr>
          <w:rFonts w:hint="default" w:ascii="Times New Roman" w:hAnsi="Times New Roman" w:cs="Times New Roman"/>
          <w:sz w:val="24"/>
        </w:rPr>
        <w:t>，</w:t>
      </w:r>
      <w:r>
        <w:rPr>
          <w:rFonts w:hint="eastAsia" w:ascii="Times New Roman" w:hAnsi="Times New Roman" w:cs="Times New Roman"/>
          <w:sz w:val="24"/>
          <w:lang w:eastAsia="zh-CN"/>
        </w:rPr>
        <w:t>探讨</w:t>
      </w:r>
      <w:r>
        <w:rPr>
          <w:rFonts w:hint="eastAsia" w:ascii="Times New Roman" w:hAnsi="Times New Roman" w:cs="Times New Roman"/>
          <w:sz w:val="24"/>
          <w:lang w:val="en-US" w:eastAsia="zh-CN"/>
        </w:rPr>
        <w:t>ALT的</w:t>
      </w:r>
      <w:r>
        <w:rPr>
          <w:rFonts w:hint="default" w:ascii="Times New Roman" w:hAnsi="Times New Roman" w:cs="Times New Roman"/>
          <w:sz w:val="24"/>
        </w:rPr>
        <w:t>鉴别诊断价值</w:t>
      </w:r>
      <w:r>
        <w:rPr>
          <w:rFonts w:hint="eastAsia" w:ascii="Times New Roman" w:hAnsi="Times New Roman" w:cs="Times New Roman"/>
          <w:sz w:val="24"/>
          <w:lang w:eastAsia="zh-CN"/>
        </w:rPr>
        <w:t>，并进一步分析</w:t>
      </w:r>
      <w:r>
        <w:rPr>
          <w:rFonts w:hint="eastAsia" w:ascii="Times New Roman" w:hAnsi="Times New Roman" w:cs="Times New Roman"/>
          <w:sz w:val="24"/>
          <w:lang w:val="en-US" w:eastAsia="zh-CN"/>
        </w:rPr>
        <w:t>ALT升高的药物性肝损伤</w:t>
      </w:r>
      <w:r>
        <w:rPr>
          <w:rFonts w:hint="default" w:ascii="Times New Roman" w:hAnsi="Times New Roman" w:cs="Times New Roman"/>
          <w:sz w:val="24"/>
        </w:rPr>
        <w:t>（Drug induced liver injury，DILI）</w:t>
      </w:r>
      <w:r>
        <w:rPr>
          <w:rFonts w:hint="eastAsia" w:ascii="Times New Roman" w:hAnsi="Times New Roman" w:cs="Times New Roman"/>
          <w:sz w:val="24"/>
          <w:lang w:val="en-US" w:eastAsia="zh-CN"/>
        </w:rPr>
        <w:t>的临床表现</w:t>
      </w:r>
      <w:r>
        <w:rPr>
          <w:rFonts w:hint="default" w:ascii="Times New Roman" w:hAnsi="Times New Roman" w:cs="Times New Roman"/>
          <w:sz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黑体" w:hAnsi="黑体" w:eastAsia="黑体"/>
          <w:bCs/>
          <w:sz w:val="24"/>
          <w:szCs w:val="24"/>
        </w:rPr>
        <w:t>方法</w:t>
      </w:r>
      <w:r>
        <w:rPr>
          <w:rFonts w:hint="eastAsia" w:ascii="宋体" w:hAnsi="宋体"/>
          <w:sz w:val="24"/>
          <w:szCs w:val="24"/>
        </w:rPr>
        <w:t xml:space="preserve">  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</w:rPr>
        <w:t>研究对象：</w:t>
      </w:r>
      <w:r>
        <w:rPr>
          <w:rFonts w:hint="default" w:ascii="Times New Roman" w:hAnsi="Times New Roman" w:cs="Times New Roman"/>
          <w:sz w:val="24"/>
          <w:lang w:val="en-US" w:eastAsia="zh-CN"/>
        </w:rPr>
        <w:t>1810</w:t>
      </w:r>
      <w:r>
        <w:rPr>
          <w:rFonts w:hint="default" w:ascii="Times New Roman" w:hAnsi="Times New Roman" w:cs="Times New Roman"/>
          <w:sz w:val="24"/>
        </w:rPr>
        <w:t>例ALT大于10×ULN肝损伤患者。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</w:rPr>
        <w:t>分组：对</w:t>
      </w:r>
      <w:r>
        <w:rPr>
          <w:rFonts w:hint="default" w:ascii="Times New Roman" w:hAnsi="Times New Roman" w:cs="Times New Roman"/>
          <w:sz w:val="24"/>
          <w:lang w:val="en-US" w:eastAsia="zh-CN"/>
        </w:rPr>
        <w:t>1810</w:t>
      </w:r>
      <w:r>
        <w:rPr>
          <w:rFonts w:hint="default" w:ascii="Times New Roman" w:hAnsi="Times New Roman" w:cs="Times New Roman"/>
          <w:sz w:val="24"/>
        </w:rPr>
        <w:t>例肝损伤患者以峰值ALT水平分为10-20×ULN组（1132例）和大于20×ULN组（678例）。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</w:rPr>
        <w:t>资料收集：采用回顾性分析方法收集整理2013年1月-2015年9月的</w:t>
      </w:r>
      <w:r>
        <w:rPr>
          <w:rFonts w:hint="default" w:ascii="Times New Roman" w:hAnsi="Times New Roman" w:cs="Times New Roman"/>
          <w:sz w:val="24"/>
          <w:lang w:val="en-US" w:eastAsia="zh-CN"/>
        </w:rPr>
        <w:t>1810</w:t>
      </w:r>
      <w:r>
        <w:rPr>
          <w:rFonts w:hint="default" w:ascii="Times New Roman" w:hAnsi="Times New Roman" w:cs="Times New Roman"/>
          <w:sz w:val="24"/>
        </w:rPr>
        <w:t>例ALT大于10×ULN肝损伤病例，记录患者一般资料、临床表现、相关既往史、实验室检查、主要治疗及手术方式等相关资料进行总结分析。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</w:rPr>
        <w:t>统计分析：采用SPSS 22.0进行统计分析，</w:t>
      </w:r>
      <w:r>
        <w:rPr>
          <w:rFonts w:hint="default" w:ascii="Times New Roman" w:hAnsi="Times New Roman" w:cs="Times New Roman"/>
          <w:i/>
          <w:iCs/>
          <w:sz w:val="24"/>
        </w:rPr>
        <w:t>P</w:t>
      </w:r>
      <w:r>
        <w:rPr>
          <w:rFonts w:hint="default" w:ascii="Times New Roman" w:hAnsi="Times New Roman" w:cs="Times New Roman"/>
          <w:sz w:val="24"/>
        </w:rPr>
        <w:t>＜</w:t>
      </w:r>
      <w:r>
        <w:rPr>
          <w:rFonts w:hint="default" w:ascii="Times New Roman" w:hAnsi="Times New Roman" w:cs="Times New Roman"/>
          <w:sz w:val="24"/>
          <w:lang w:val="en-US" w:eastAsia="zh-CN"/>
        </w:rPr>
        <w:t>0.05</w:t>
      </w:r>
      <w:r>
        <w:rPr>
          <w:rFonts w:hint="default" w:ascii="Times New Roman" w:hAnsi="Times New Roman" w:cs="Times New Roman"/>
          <w:sz w:val="24"/>
        </w:rPr>
        <w:t>为差异有统计学意义。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黑体" w:hAnsi="黑体" w:eastAsia="黑体"/>
          <w:bCs/>
          <w:sz w:val="24"/>
          <w:szCs w:val="24"/>
        </w:rPr>
      </w:pPr>
      <w:r>
        <w:rPr>
          <w:rFonts w:hint="eastAsia" w:ascii="黑体" w:hAnsi="黑体" w:eastAsia="黑体"/>
          <w:bCs/>
          <w:sz w:val="24"/>
          <w:szCs w:val="24"/>
        </w:rPr>
        <w:t>结果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1.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lang w:val="en-US" w:eastAsia="zh-CN"/>
        </w:rPr>
        <w:t>1810</w:t>
      </w:r>
      <w:r>
        <w:rPr>
          <w:rFonts w:hint="default" w:ascii="Times New Roman" w:hAnsi="Times New Roman" w:cs="Times New Roman"/>
          <w:sz w:val="24"/>
        </w:rPr>
        <w:t>例肝损伤患者检出病毒性肝炎患者455例（25.1%）、胆源性肝损伤265例（14.6%）、药物性肝损伤300例（16.6%）、</w:t>
      </w:r>
      <w:r>
        <w:rPr>
          <w:rFonts w:hint="default" w:ascii="Times New Roman" w:hAnsi="Times New Roman" w:cs="Times New Roman"/>
          <w:sz w:val="24"/>
          <w:lang w:eastAsia="zh-CN"/>
        </w:rPr>
        <w:t>血流动力学障碍导致肝损伤</w:t>
      </w:r>
      <w:r>
        <w:rPr>
          <w:rFonts w:hint="default" w:ascii="Times New Roman" w:hAnsi="Times New Roman" w:cs="Times New Roman"/>
          <w:sz w:val="24"/>
        </w:rPr>
        <w:t>307例（17.0%）、手术性肝损伤338例（18.7%）、自身免疫性肝炎10例（0.9%）、</w:t>
      </w:r>
      <w:r>
        <w:rPr>
          <w:rFonts w:hint="default" w:ascii="Times New Roman" w:hAnsi="Times New Roman" w:cs="Times New Roman"/>
          <w:sz w:val="24"/>
          <w:lang w:eastAsia="zh-CN"/>
        </w:rPr>
        <w:t>酒精性肝炎</w:t>
      </w:r>
      <w:r>
        <w:rPr>
          <w:rFonts w:hint="default" w:ascii="Times New Roman" w:hAnsi="Times New Roman" w:cs="Times New Roman"/>
          <w:sz w:val="24"/>
        </w:rPr>
        <w:t>8例（0.7%），外伤性肝损伤19例（1.7%）、其他类型肝损伤共41例（2.3%）</w:t>
      </w:r>
      <w:r>
        <w:rPr>
          <w:rFonts w:hint="default" w:ascii="Times New Roman" w:hAnsi="Times New Roman" w:cs="Times New Roman"/>
          <w:sz w:val="24"/>
          <w:lang w:eastAsia="zh-CN"/>
        </w:rPr>
        <w:t>，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"/>
        </w:rPr>
        <w:t>不明原因性肝损伤50例（2.8%）</w:t>
      </w:r>
      <w:r>
        <w:rPr>
          <w:rFonts w:hint="default" w:ascii="Times New Roman" w:hAnsi="Times New Roman" w:cs="Times New Roman"/>
          <w:sz w:val="24"/>
        </w:rPr>
        <w:t>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eastAsia" w:ascii="Times New Roman" w:hAnsi="Times New Roman" w:cs="Times New Roman"/>
          <w:sz w:val="24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highlight w:val="none"/>
        </w:rPr>
        <w:t>除ALP外，ALT 10-20×ULN组与ALT大于20×ULN组实验室指标比较有统计学意义（</w:t>
      </w:r>
      <w:r>
        <w:rPr>
          <w:rFonts w:hint="default" w:ascii="Times New Roman" w:hAnsi="Times New Roman" w:cs="Times New Roman"/>
          <w:i/>
          <w:iCs/>
          <w:sz w:val="24"/>
          <w:highlight w:val="none"/>
        </w:rPr>
        <w:t>P</w:t>
      </w:r>
      <w:r>
        <w:rPr>
          <w:rFonts w:hint="default" w:ascii="Times New Roman" w:hAnsi="Times New Roman" w:cs="Times New Roman"/>
          <w:sz w:val="24"/>
          <w:highlight w:val="none"/>
        </w:rPr>
        <w:t>&lt;0.05）。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"/>
        </w:rPr>
        <w:t>胆源性肝损伤、血流动力学障碍导致肝损伤比率在10-20×ULN组和大于20×ULN组之间存在统计学差异（</w:t>
      </w:r>
      <w:r>
        <w:rPr>
          <w:rFonts w:hint="default" w:ascii="Times New Roman" w:hAnsi="Times New Roman" w:eastAsia="宋体" w:cs="Times New Roman"/>
          <w:i/>
          <w:iCs/>
          <w:kern w:val="2"/>
          <w:sz w:val="24"/>
          <w:szCs w:val="24"/>
          <w:lang w:val="en-US" w:eastAsia="zh-CN" w:bidi="ar"/>
        </w:rPr>
        <w:t>P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"/>
        </w:rPr>
        <w:t>&lt;0.05）。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</w:rPr>
        <w:t>血流动力学</w:t>
      </w:r>
      <w:r>
        <w:rPr>
          <w:rFonts w:hint="default" w:ascii="Times New Roman" w:hAnsi="Times New Roman" w:cs="Times New Roman"/>
          <w:sz w:val="24"/>
          <w:lang w:eastAsia="zh-CN"/>
        </w:rPr>
        <w:t>障碍导致</w:t>
      </w:r>
      <w:r>
        <w:rPr>
          <w:rFonts w:hint="default" w:ascii="Times New Roman" w:hAnsi="Times New Roman" w:cs="Times New Roman"/>
          <w:sz w:val="24"/>
        </w:rPr>
        <w:t>肝损伤ALT</w:t>
      </w:r>
      <w:r>
        <w:rPr>
          <w:rFonts w:hint="default" w:ascii="Times New Roman" w:hAnsi="Times New Roman" w:cs="Times New Roman"/>
          <w:sz w:val="24"/>
          <w:lang w:eastAsia="zh-CN"/>
        </w:rPr>
        <w:t>水平显著</w:t>
      </w:r>
      <w:r>
        <w:rPr>
          <w:rFonts w:hint="default" w:ascii="Times New Roman" w:hAnsi="Times New Roman" w:cs="Times New Roman"/>
          <w:sz w:val="24"/>
        </w:rPr>
        <w:t>高于其他病因所造成的肝损伤，自身免疫性肝炎</w:t>
      </w:r>
      <w:r>
        <w:rPr>
          <w:rFonts w:hint="default" w:ascii="Times New Roman" w:hAnsi="Times New Roman" w:cs="Times New Roman"/>
          <w:sz w:val="24"/>
          <w:lang w:eastAsia="zh-CN"/>
        </w:rPr>
        <w:t>相对</w:t>
      </w:r>
      <w:r>
        <w:rPr>
          <w:rFonts w:hint="default" w:ascii="Times New Roman" w:hAnsi="Times New Roman" w:cs="Times New Roman"/>
          <w:sz w:val="24"/>
        </w:rPr>
        <w:t>较低。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</w:rPr>
        <w:t>多因素回归分析显示</w:t>
      </w:r>
      <w:r>
        <w:rPr>
          <w:rFonts w:hint="default" w:ascii="Times New Roman" w:hAnsi="Times New Roman" w:cs="Times New Roman"/>
          <w:sz w:val="24"/>
          <w:lang w:eastAsia="zh-CN"/>
        </w:rPr>
        <w:t>年龄</w:t>
      </w:r>
      <w:r>
        <w:rPr>
          <w:rFonts w:hint="default" w:ascii="Times New Roman" w:hAnsi="Times New Roman" w:cs="Times New Roman"/>
          <w:sz w:val="24"/>
        </w:rPr>
        <w:t>(</w:t>
      </w:r>
      <w:r>
        <w:rPr>
          <w:rFonts w:hint="default" w:ascii="Times New Roman" w:hAnsi="Times New Roman" w:cs="Times New Roman"/>
          <w:i/>
          <w:iCs/>
          <w:sz w:val="24"/>
        </w:rPr>
        <w:t>P</w:t>
      </w:r>
      <w:r>
        <w:rPr>
          <w:rFonts w:hint="default" w:ascii="Times New Roman" w:hAnsi="Times New Roman" w:cs="Times New Roman"/>
          <w:sz w:val="24"/>
        </w:rPr>
        <w:t>=</w:t>
      </w:r>
      <w:r>
        <w:rPr>
          <w:rFonts w:hint="default" w:ascii="Times New Roman" w:hAnsi="Times New Roman" w:cs="Times New Roman"/>
          <w:sz w:val="24"/>
          <w:lang w:val="en-US" w:eastAsia="zh-CN"/>
        </w:rPr>
        <w:t>0.000</w:t>
      </w:r>
      <w:r>
        <w:rPr>
          <w:rFonts w:hint="default" w:ascii="Times New Roman" w:hAnsi="Times New Roman" w:cs="Times New Roman"/>
          <w:sz w:val="24"/>
        </w:rPr>
        <w:t>，OR=</w:t>
      </w:r>
      <w:r>
        <w:rPr>
          <w:rFonts w:hint="default" w:ascii="Times New Roman" w:hAnsi="Times New Roman" w:cs="Times New Roman"/>
          <w:sz w:val="24"/>
          <w:lang w:val="en-US" w:eastAsia="zh-CN"/>
        </w:rPr>
        <w:t>1.052</w:t>
      </w:r>
      <w:r>
        <w:rPr>
          <w:rFonts w:hint="default" w:ascii="Times New Roman" w:hAnsi="Times New Roman" w:cs="Times New Roman"/>
          <w:sz w:val="24"/>
        </w:rPr>
        <w:t>)</w:t>
      </w:r>
      <w:r>
        <w:rPr>
          <w:rFonts w:hint="default" w:ascii="Times New Roman" w:hAnsi="Times New Roman" w:cs="Times New Roman"/>
          <w:sz w:val="24"/>
          <w:lang w:eastAsia="zh-CN"/>
        </w:rPr>
        <w:t>、</w:t>
      </w:r>
      <w:r>
        <w:rPr>
          <w:rFonts w:hint="default" w:ascii="Times New Roman" w:hAnsi="Times New Roman" w:cs="Times New Roman"/>
          <w:sz w:val="24"/>
        </w:rPr>
        <w:t>活化部分凝血酶原时间（APTT）(</w:t>
      </w:r>
      <w:r>
        <w:rPr>
          <w:rFonts w:hint="default" w:ascii="Times New Roman" w:hAnsi="Times New Roman" w:cs="Times New Roman"/>
          <w:i/>
          <w:iCs/>
          <w:sz w:val="24"/>
        </w:rPr>
        <w:t>P</w:t>
      </w:r>
      <w:r>
        <w:rPr>
          <w:rFonts w:hint="default" w:ascii="Times New Roman" w:hAnsi="Times New Roman" w:cs="Times New Roman"/>
          <w:sz w:val="24"/>
        </w:rPr>
        <w:t>=</w:t>
      </w:r>
      <w:r>
        <w:rPr>
          <w:rFonts w:hint="default" w:ascii="Times New Roman" w:hAnsi="Times New Roman" w:cs="Times New Roman"/>
          <w:sz w:val="24"/>
          <w:lang w:val="en-US" w:eastAsia="zh-CN"/>
        </w:rPr>
        <w:t>0.018</w:t>
      </w:r>
      <w:r>
        <w:rPr>
          <w:rFonts w:hint="default" w:ascii="Times New Roman" w:hAnsi="Times New Roman" w:cs="Times New Roman"/>
          <w:sz w:val="24"/>
        </w:rPr>
        <w:t>，</w:t>
      </w:r>
      <w:r>
        <w:rPr>
          <w:rFonts w:hint="default" w:ascii="Times New Roman" w:hAnsi="Times New Roman" w:cs="Times New Roman"/>
          <w:i/>
          <w:iCs/>
          <w:sz w:val="24"/>
        </w:rPr>
        <w:t>OR</w:t>
      </w:r>
      <w:r>
        <w:rPr>
          <w:rFonts w:hint="default" w:ascii="Times New Roman" w:hAnsi="Times New Roman" w:cs="Times New Roman"/>
          <w:sz w:val="24"/>
        </w:rPr>
        <w:t>=1.0</w:t>
      </w:r>
      <w:r>
        <w:rPr>
          <w:rFonts w:hint="default" w:ascii="Times New Roman" w:hAnsi="Times New Roman" w:cs="Times New Roman"/>
          <w:sz w:val="24"/>
          <w:lang w:val="en-US" w:eastAsia="zh-CN"/>
        </w:rPr>
        <w:t>20</w:t>
      </w:r>
      <w:r>
        <w:rPr>
          <w:rFonts w:hint="default" w:ascii="Times New Roman" w:hAnsi="Times New Roman" w:cs="Times New Roman"/>
          <w:sz w:val="24"/>
        </w:rPr>
        <w:t>)是</w:t>
      </w:r>
      <w:r>
        <w:rPr>
          <w:rFonts w:hint="default" w:ascii="Times New Roman" w:hAnsi="Times New Roman" w:cs="Times New Roman"/>
          <w:sz w:val="24"/>
          <w:lang w:val="en-US" w:eastAsia="zh-CN"/>
        </w:rPr>
        <w:t>ALT大于10×ULN的肝损伤患者死亡的</w:t>
      </w:r>
      <w:r>
        <w:rPr>
          <w:rFonts w:hint="default" w:ascii="Times New Roman" w:hAnsi="Times New Roman" w:cs="Times New Roman"/>
          <w:sz w:val="24"/>
        </w:rPr>
        <w:t>独立危险因素</w:t>
      </w:r>
      <w:r>
        <w:rPr>
          <w:rFonts w:hint="default" w:ascii="Times New Roman" w:hAnsi="Times New Roman" w:cs="Times New Roman"/>
          <w:sz w:val="24"/>
          <w:lang w:eastAsia="zh-CN"/>
        </w:rPr>
        <w:t>，而</w:t>
      </w:r>
      <w:r>
        <w:rPr>
          <w:rFonts w:hint="default" w:ascii="Times New Roman" w:hAnsi="Times New Roman" w:cs="Times New Roman"/>
          <w:sz w:val="24"/>
          <w:lang w:val="en-US" w:eastAsia="zh-CN"/>
        </w:rPr>
        <w:t>ALT对患者死亡无预警作用</w:t>
      </w:r>
      <w:r>
        <w:rPr>
          <w:rFonts w:hint="default" w:ascii="Times New Roman" w:hAnsi="Times New Roman" w:cs="Times New Roman"/>
          <w:sz w:val="24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</w:rPr>
        <w:t>药物性肝损伤300例（16.6%），其中资料完整的277例患者与药物之间的关联性程度及比例为：极可能（评分大于8分）占15.8%，很可能（6~8分）40.9%，可能（3~5分）占43.3%。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</w:rPr>
        <w:t>药物性肝损伤肝细胞型182例 (80.0%), 胆汁淤积型 17例 (13.5%), 混合型 78例 (6.7%)，肝细胞型、混合型治愈好转率分别是85.2% 和91. 0%,胆汁淤积型显著偏低，为 52.9%（</w:t>
      </w:r>
      <w:r>
        <w:rPr>
          <w:rFonts w:hint="default" w:ascii="Times New Roman" w:hAnsi="Times New Roman" w:cs="Times New Roman"/>
          <w:i/>
          <w:iCs/>
          <w:sz w:val="24"/>
        </w:rPr>
        <w:t>P</w:t>
      </w:r>
      <w:r>
        <w:rPr>
          <w:rFonts w:hint="default" w:ascii="Times New Roman" w:hAnsi="Times New Roman" w:cs="Times New Roman"/>
          <w:sz w:val="24"/>
        </w:rPr>
        <w:t>=0.013，</w:t>
      </w:r>
      <w:r>
        <w:rPr>
          <w:rFonts w:hint="default" w:ascii="Times New Roman" w:hAnsi="Times New Roman" w:cs="Times New Roman"/>
          <w:i/>
          <w:iCs/>
          <w:sz w:val="24"/>
        </w:rPr>
        <w:t>P</w:t>
      </w:r>
      <w:r>
        <w:rPr>
          <w:rFonts w:hint="default" w:ascii="Times New Roman" w:hAnsi="Times New Roman" w:cs="Times New Roman"/>
          <w:sz w:val="24"/>
        </w:rPr>
        <w:t>=0.001）。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</w:rPr>
        <w:t>肝损伤严重程度分级为：1级（轻度）146例(52.7%)，2级（中度）28例(10.1%)，3级（重度）35例(12.6%)，4级（ALF）64例(23.1%)，5级（致命）4例(1.4%)。1级肝损伤患者ALT平均值较低(</w:t>
      </w:r>
      <w:r>
        <w:rPr>
          <w:rFonts w:hint="default" w:ascii="Times New Roman" w:hAnsi="Times New Roman" w:cs="Times New Roman"/>
          <w:i/>
          <w:iCs/>
          <w:sz w:val="24"/>
        </w:rPr>
        <w:t>P</w:t>
      </w:r>
      <w:r>
        <w:rPr>
          <w:rFonts w:hint="default" w:ascii="Times New Roman" w:hAnsi="Times New Roman" w:cs="Times New Roman"/>
          <w:sz w:val="24"/>
        </w:rPr>
        <w:t>&lt;0.05）。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</w:rPr>
        <w:t>多因素回归分析显示药物（</w:t>
      </w:r>
      <w:r>
        <w:rPr>
          <w:rFonts w:hint="default" w:ascii="Times New Roman" w:hAnsi="Times New Roman" w:cs="Times New Roman"/>
          <w:i/>
          <w:iCs/>
          <w:sz w:val="24"/>
        </w:rPr>
        <w:t>P</w:t>
      </w:r>
      <w:r>
        <w:rPr>
          <w:rFonts w:hint="default" w:ascii="Times New Roman" w:hAnsi="Times New Roman" w:cs="Times New Roman"/>
          <w:sz w:val="24"/>
        </w:rPr>
        <w:t>=0.02）、白蛋白（Alb）(</w:t>
      </w:r>
      <w:r>
        <w:rPr>
          <w:rFonts w:hint="default" w:ascii="Times New Roman" w:hAnsi="Times New Roman" w:cs="Times New Roman"/>
          <w:i/>
          <w:iCs/>
          <w:sz w:val="24"/>
        </w:rPr>
        <w:t>P</w:t>
      </w:r>
      <w:r>
        <w:rPr>
          <w:rFonts w:hint="default" w:ascii="Times New Roman" w:hAnsi="Times New Roman" w:cs="Times New Roman"/>
          <w:sz w:val="24"/>
        </w:rPr>
        <w:t>=0.049，</w:t>
      </w:r>
      <w:r>
        <w:rPr>
          <w:rFonts w:hint="default" w:ascii="Times New Roman" w:hAnsi="Times New Roman" w:cs="Times New Roman"/>
          <w:i/>
          <w:iCs/>
          <w:sz w:val="24"/>
        </w:rPr>
        <w:t>OR</w:t>
      </w:r>
      <w:r>
        <w:rPr>
          <w:rFonts w:hint="default" w:ascii="Times New Roman" w:hAnsi="Times New Roman" w:cs="Times New Roman"/>
          <w:sz w:val="24"/>
        </w:rPr>
        <w:t>=0.87)、碱性磷酸酶（ALP）(</w:t>
      </w:r>
      <w:r>
        <w:rPr>
          <w:rFonts w:hint="default" w:ascii="Times New Roman" w:hAnsi="Times New Roman" w:cs="Times New Roman"/>
          <w:i/>
          <w:iCs/>
          <w:sz w:val="24"/>
        </w:rPr>
        <w:t>P</w:t>
      </w:r>
      <w:r>
        <w:rPr>
          <w:rFonts w:hint="default" w:ascii="Times New Roman" w:hAnsi="Times New Roman" w:cs="Times New Roman"/>
          <w:sz w:val="24"/>
        </w:rPr>
        <w:t>=0.016，</w:t>
      </w:r>
      <w:r>
        <w:rPr>
          <w:rFonts w:hint="default" w:ascii="Times New Roman" w:hAnsi="Times New Roman" w:cs="Times New Roman"/>
          <w:i/>
          <w:iCs/>
          <w:sz w:val="24"/>
        </w:rPr>
        <w:t>OR</w:t>
      </w:r>
      <w:r>
        <w:rPr>
          <w:rFonts w:hint="default" w:ascii="Times New Roman" w:hAnsi="Times New Roman" w:cs="Times New Roman"/>
          <w:sz w:val="24"/>
        </w:rPr>
        <w:t>=1.005)、乳酸脱氢酶（LHD）（</w:t>
      </w:r>
      <w:r>
        <w:rPr>
          <w:rFonts w:hint="default" w:ascii="Times New Roman" w:hAnsi="Times New Roman" w:cs="Times New Roman"/>
          <w:i/>
          <w:iCs/>
          <w:sz w:val="24"/>
        </w:rPr>
        <w:t>P</w:t>
      </w:r>
      <w:r>
        <w:rPr>
          <w:rFonts w:hint="default" w:ascii="Times New Roman" w:hAnsi="Times New Roman" w:cs="Times New Roman"/>
          <w:sz w:val="24"/>
        </w:rPr>
        <w:t>=0.018，</w:t>
      </w:r>
      <w:r>
        <w:rPr>
          <w:rFonts w:hint="default" w:ascii="Times New Roman" w:hAnsi="Times New Roman" w:cs="Times New Roman"/>
          <w:i/>
          <w:iCs/>
          <w:sz w:val="24"/>
        </w:rPr>
        <w:t>OR</w:t>
      </w:r>
      <w:r>
        <w:rPr>
          <w:rFonts w:hint="default" w:ascii="Times New Roman" w:hAnsi="Times New Roman" w:cs="Times New Roman"/>
          <w:sz w:val="24"/>
        </w:rPr>
        <w:t>=0.999）、APTT(</w:t>
      </w:r>
      <w:r>
        <w:rPr>
          <w:rFonts w:hint="default" w:ascii="Times New Roman" w:hAnsi="Times New Roman" w:cs="Times New Roman"/>
          <w:i/>
          <w:iCs/>
          <w:sz w:val="24"/>
        </w:rPr>
        <w:t>P</w:t>
      </w:r>
      <w:r>
        <w:rPr>
          <w:rFonts w:hint="default" w:ascii="Times New Roman" w:hAnsi="Times New Roman" w:cs="Times New Roman"/>
          <w:sz w:val="24"/>
        </w:rPr>
        <w:t>=0.024，</w:t>
      </w:r>
      <w:r>
        <w:rPr>
          <w:rFonts w:hint="default" w:ascii="Times New Roman" w:hAnsi="Times New Roman" w:cs="Times New Roman"/>
          <w:i/>
          <w:iCs/>
          <w:sz w:val="24"/>
        </w:rPr>
        <w:t>OR</w:t>
      </w:r>
      <w:r>
        <w:rPr>
          <w:rFonts w:hint="default" w:ascii="Times New Roman" w:hAnsi="Times New Roman" w:cs="Times New Roman"/>
          <w:sz w:val="24"/>
        </w:rPr>
        <w:t>=1.049)、和纤维蛋白原（FIB）（</w:t>
      </w:r>
      <w:r>
        <w:rPr>
          <w:rFonts w:hint="default" w:ascii="Times New Roman" w:hAnsi="Times New Roman" w:cs="Times New Roman"/>
          <w:i/>
          <w:iCs/>
          <w:sz w:val="24"/>
        </w:rPr>
        <w:t>P</w:t>
      </w:r>
      <w:r>
        <w:rPr>
          <w:rFonts w:hint="default" w:ascii="Times New Roman" w:hAnsi="Times New Roman" w:cs="Times New Roman"/>
          <w:sz w:val="24"/>
        </w:rPr>
        <w:t>=0.001，</w:t>
      </w:r>
      <w:r>
        <w:rPr>
          <w:rFonts w:hint="default" w:ascii="Times New Roman" w:hAnsi="Times New Roman" w:cs="Times New Roman"/>
          <w:i/>
          <w:iCs/>
          <w:sz w:val="24"/>
        </w:rPr>
        <w:t>OR</w:t>
      </w:r>
      <w:r>
        <w:rPr>
          <w:rFonts w:hint="default" w:ascii="Times New Roman" w:hAnsi="Times New Roman" w:cs="Times New Roman"/>
          <w:sz w:val="24"/>
        </w:rPr>
        <w:t>=0.292）是DILI重症和死亡患者独立危险因素</w:t>
      </w:r>
      <w:r>
        <w:rPr>
          <w:rFonts w:hint="default" w:ascii="Times New Roman" w:hAnsi="Times New Roman" w:cs="Times New Roman"/>
          <w:sz w:val="24"/>
          <w:lang w:eastAsia="zh-CN"/>
        </w:rPr>
        <w:t>，而</w:t>
      </w:r>
      <w:r>
        <w:rPr>
          <w:rFonts w:hint="default" w:ascii="Times New Roman" w:hAnsi="Times New Roman" w:cs="Times New Roman"/>
          <w:sz w:val="24"/>
          <w:lang w:val="en-US" w:eastAsia="zh-CN"/>
        </w:rPr>
        <w:t>ALT对患者死亡无预警作用</w:t>
      </w:r>
      <w:r>
        <w:rPr>
          <w:rFonts w:hint="default" w:ascii="Times New Roman" w:hAnsi="Times New Roman" w:cs="Times New Roman"/>
          <w:sz w:val="24"/>
        </w:rPr>
        <w:t>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 </w:t>
      </w:r>
      <w:bookmarkStart w:id="3" w:name="_GoBack"/>
      <w:bookmarkEnd w:id="3"/>
      <w:r>
        <w:rPr>
          <w:rFonts w:hint="default" w:ascii="Times New Roman" w:hAnsi="Times New Roman" w:cs="Times New Roman"/>
          <w:sz w:val="24"/>
        </w:rPr>
        <w:t>导致急性肝损伤的药物依次为中药、抗肿瘤药、抗感染药、解热镇痛药、调脂药、抗结核药、神经精神用药等。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eastAsia" w:ascii="黑体" w:hAnsi="黑体" w:eastAsia="黑体"/>
          <w:bCs/>
          <w:sz w:val="24"/>
          <w:szCs w:val="24"/>
        </w:rPr>
        <w:t>结论</w:t>
      </w:r>
      <w:r>
        <w:rPr>
          <w:rFonts w:hint="eastAsia" w:ascii="黑体" w:hAnsi="黑体" w:eastAsia="黑体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lang w:bidi="ar"/>
        </w:rPr>
      </w:pPr>
      <w:r>
        <w:rPr>
          <w:rFonts w:hint="default" w:ascii="Times New Roman" w:hAnsi="Times New Roman" w:cs="Times New Roman"/>
          <w:sz w:val="24"/>
        </w:rPr>
        <w:t>胆源性肝损伤ALT峰值</w:t>
      </w:r>
      <w:r>
        <w:rPr>
          <w:rFonts w:hint="default" w:ascii="Times New Roman" w:hAnsi="Times New Roman" w:cs="Times New Roman"/>
          <w:sz w:val="24"/>
          <w:lang w:eastAsia="zh-CN"/>
        </w:rPr>
        <w:t>水平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"/>
        </w:rPr>
        <w:t>大于20×ULN的病例较少</w:t>
      </w:r>
      <w:r>
        <w:rPr>
          <w:rFonts w:hint="default" w:ascii="Times New Roman" w:hAnsi="Times New Roman" w:cs="Times New Roman"/>
          <w:sz w:val="24"/>
        </w:rPr>
        <w:t>，</w:t>
      </w:r>
      <w:r>
        <w:rPr>
          <w:rFonts w:hint="default" w:ascii="Times New Roman" w:hAnsi="Times New Roman" w:cs="Times New Roman"/>
          <w:sz w:val="24"/>
          <w:lang w:eastAsia="zh-CN"/>
        </w:rPr>
        <w:t>血清</w:t>
      </w:r>
      <w:r>
        <w:rPr>
          <w:rFonts w:hint="default" w:ascii="Times New Roman" w:hAnsi="Times New Roman" w:cs="Times New Roman"/>
          <w:sz w:val="24"/>
          <w:lang w:val="en-US" w:eastAsia="zh-CN"/>
        </w:rPr>
        <w:t>ALT变化幅度相对较低，</w:t>
      </w:r>
      <w:r>
        <w:rPr>
          <w:rFonts w:hint="default" w:ascii="Times New Roman" w:hAnsi="Times New Roman" w:cs="Times New Roman"/>
          <w:sz w:val="24"/>
          <w:lang w:eastAsia="zh-CN"/>
        </w:rPr>
        <w:t>血流动力学障碍导致肝损伤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"/>
        </w:rPr>
        <w:t>患者ALT水平多大于20×ULN，</w:t>
      </w:r>
      <w:r>
        <w:rPr>
          <w:rFonts w:hint="default" w:ascii="Times New Roman" w:hAnsi="Times New Roman" w:cs="Times New Roman"/>
          <w:sz w:val="24"/>
          <w:lang w:eastAsia="zh-CN"/>
        </w:rPr>
        <w:t>血清</w:t>
      </w:r>
      <w:r>
        <w:rPr>
          <w:rFonts w:hint="default" w:ascii="Times New Roman" w:hAnsi="Times New Roman" w:cs="Times New Roman"/>
          <w:sz w:val="24"/>
          <w:lang w:val="en-US" w:eastAsia="zh-CN"/>
        </w:rPr>
        <w:t>ALT变化幅度最高</w:t>
      </w:r>
      <w:r>
        <w:rPr>
          <w:rFonts w:hint="eastAsia" w:ascii="Times New Roman" w:hAnsi="Times New Roman" w:cs="Times New Roman"/>
          <w:sz w:val="24"/>
          <w:lang w:val="en-US" w:eastAsia="zh-CN"/>
        </w:rPr>
        <w:t>，</w:t>
      </w:r>
      <w:r>
        <w:rPr>
          <w:rFonts w:hint="default" w:ascii="Times New Roman" w:hAnsi="Times New Roman" w:cs="Times New Roman"/>
          <w:sz w:val="24"/>
          <w:lang w:bidi="ar"/>
        </w:rPr>
        <w:t>血清ALT</w:t>
      </w:r>
      <w:r>
        <w:rPr>
          <w:rFonts w:hint="eastAsia" w:ascii="Times New Roman" w:hAnsi="Times New Roman" w:cs="Times New Roman"/>
          <w:sz w:val="24"/>
          <w:lang w:eastAsia="zh-CN" w:bidi="ar"/>
        </w:rPr>
        <w:t>变化</w:t>
      </w:r>
      <w:r>
        <w:rPr>
          <w:rFonts w:hint="default" w:ascii="Times New Roman" w:hAnsi="Times New Roman" w:cs="Times New Roman"/>
          <w:sz w:val="24"/>
          <w:lang w:bidi="ar"/>
        </w:rPr>
        <w:t>区间对ALT大于10×ULN肝损伤病因</w:t>
      </w:r>
      <w:r>
        <w:rPr>
          <w:rFonts w:hint="default" w:ascii="Times New Roman" w:hAnsi="Times New Roman" w:cs="Times New Roman"/>
          <w:sz w:val="24"/>
          <w:lang w:eastAsia="zh-CN" w:bidi="ar"/>
        </w:rPr>
        <w:t>判定具</w:t>
      </w:r>
      <w:r>
        <w:rPr>
          <w:rFonts w:hint="default" w:ascii="Times New Roman" w:hAnsi="Times New Roman" w:cs="Times New Roman"/>
          <w:sz w:val="24"/>
          <w:lang w:bidi="ar"/>
        </w:rPr>
        <w:t>有指导意义。</w:t>
      </w:r>
      <w:r>
        <w:rPr>
          <w:rFonts w:hint="default" w:ascii="Times New Roman" w:hAnsi="Times New Roman" w:cs="Times New Roman"/>
          <w:sz w:val="24"/>
          <w:lang w:eastAsia="zh-CN" w:bidi="ar"/>
        </w:rPr>
        <w:t>年龄、</w:t>
      </w:r>
      <w:r>
        <w:rPr>
          <w:rFonts w:hint="default" w:ascii="Times New Roman" w:hAnsi="Times New Roman" w:cs="Times New Roman"/>
          <w:sz w:val="24"/>
          <w:lang w:val="en-US" w:eastAsia="zh-CN" w:bidi="ar"/>
        </w:rPr>
        <w:t>APTT是ALT大于10×ULN的肝损伤患者死亡的</w:t>
      </w:r>
      <w:r>
        <w:rPr>
          <w:rFonts w:hint="default" w:ascii="Times New Roman" w:hAnsi="Times New Roman" w:cs="Times New Roman"/>
          <w:sz w:val="24"/>
          <w:lang w:bidi="ar"/>
        </w:rPr>
        <w:t>独立危险因素</w:t>
      </w:r>
      <w:r>
        <w:rPr>
          <w:rFonts w:hint="default" w:ascii="Times New Roman" w:hAnsi="Times New Roman" w:cs="Times New Roman"/>
          <w:sz w:val="24"/>
          <w:lang w:eastAsia="zh-CN" w:bidi="ar"/>
        </w:rPr>
        <w:t>，而</w:t>
      </w:r>
      <w:r>
        <w:rPr>
          <w:rFonts w:hint="default" w:ascii="Times New Roman" w:hAnsi="Times New Roman" w:cs="Times New Roman"/>
          <w:sz w:val="24"/>
          <w:lang w:val="en-US" w:eastAsia="zh-CN"/>
        </w:rPr>
        <w:t>ALT对患者死亡无预警作用</w:t>
      </w:r>
      <w:r>
        <w:rPr>
          <w:rFonts w:hint="default" w:ascii="Times New Roman" w:hAnsi="Times New Roman" w:cs="Times New Roman"/>
          <w:sz w:val="24"/>
          <w:lang w:eastAsia="zh-CN" w:bidi="ar"/>
        </w:rPr>
        <w:t>。</w:t>
      </w:r>
      <w:r>
        <w:rPr>
          <w:rFonts w:hint="default" w:ascii="Times New Roman" w:hAnsi="Times New Roman" w:cs="Times New Roman"/>
          <w:sz w:val="24"/>
          <w:lang w:bidi="ar"/>
        </w:rPr>
        <w:t>药物、Alb、ALP、LHD、APTT和FIB是重症和死亡DILI患者独立危险因素</w:t>
      </w:r>
      <w:r>
        <w:rPr>
          <w:rFonts w:hint="default" w:ascii="Times New Roman" w:hAnsi="Times New Roman" w:cs="Times New Roman"/>
          <w:sz w:val="24"/>
          <w:lang w:eastAsia="zh-CN" w:bidi="ar"/>
        </w:rPr>
        <w:t>，</w:t>
      </w:r>
      <w:r>
        <w:rPr>
          <w:rFonts w:hint="default" w:ascii="Times New Roman" w:hAnsi="Times New Roman" w:cs="Times New Roman"/>
          <w:sz w:val="24"/>
          <w:lang w:val="en-US" w:eastAsia="zh-CN"/>
        </w:rPr>
        <w:t>ALT</w:t>
      </w:r>
      <w:r>
        <w:rPr>
          <w:rFonts w:hint="eastAsia" w:ascii="Times New Roman" w:hAnsi="Times New Roman" w:cs="Times New Roman"/>
          <w:sz w:val="24"/>
          <w:lang w:val="en-US" w:eastAsia="zh-CN"/>
        </w:rPr>
        <w:t>同样对DILI</w:t>
      </w:r>
      <w:r>
        <w:rPr>
          <w:rFonts w:hint="default" w:ascii="Times New Roman" w:hAnsi="Times New Roman" w:cs="Times New Roman"/>
          <w:sz w:val="24"/>
          <w:lang w:val="en-US" w:eastAsia="zh-CN"/>
        </w:rPr>
        <w:t>患者死亡无预警作用</w:t>
      </w:r>
      <w:r>
        <w:rPr>
          <w:rFonts w:hint="eastAsia" w:ascii="Times New Roman" w:hAnsi="Times New Roman" w:cs="Times New Roman"/>
          <w:sz w:val="24"/>
          <w:lang w:val="en-US" w:eastAsia="zh-CN"/>
        </w:rPr>
        <w:t>，其中药物主要是</w:t>
      </w:r>
      <w:r>
        <w:rPr>
          <w:rFonts w:hint="default" w:ascii="Times New Roman" w:hAnsi="Times New Roman" w:cs="Times New Roman"/>
          <w:sz w:val="24"/>
          <w:lang w:bidi="ar"/>
        </w:rPr>
        <w:t>中药、抗肿瘤药、抗感染药。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eastAsia" w:ascii="黑体" w:hAnsi="黑体" w:eastAsia="黑体"/>
          <w:bCs/>
          <w:sz w:val="24"/>
          <w:szCs w:val="24"/>
        </w:rPr>
        <w:t>关键词</w:t>
      </w:r>
      <w:r>
        <w:rPr>
          <w:rFonts w:hint="eastAsia" w:ascii="黑体" w:hAnsi="黑体" w:eastAsia="黑体"/>
          <w:bCs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</w:rPr>
        <w:t>肝损伤；血清丙氨酸转氨酶；肝损伤，药物性；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0" w:usb3="00000000" w:csb0="001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BookAntiqua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-ExtB">
    <w:panose1 w:val="02020500000000000000"/>
    <w:charset w:val="88"/>
    <w:family w:val="modern"/>
    <w:pitch w:val="default"/>
    <w:sig w:usb0="8000002F" w:usb1="02000008" w:usb2="00000000" w:usb3="00000000" w:csb0="00100001" w:csb1="00000000"/>
  </w:font>
  <w:font w:name="Sitka Banner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lgerian">
    <w:panose1 w:val="04020705040A02060702"/>
    <w:charset w:val="00"/>
    <w:family w:val="auto"/>
    <w:pitch w:val="default"/>
    <w:sig w:usb0="00000003" w:usb1="00000000" w:usb2="00000000" w:usb3="00000000" w:csb0="200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Bell MT">
    <w:panose1 w:val="02020503060305020303"/>
    <w:charset w:val="00"/>
    <w:family w:val="auto"/>
    <w:pitch w:val="default"/>
    <w:sig w:usb0="00000003" w:usb1="00000000" w:usb2="00000000" w:usb3="00000000" w:csb0="20000001" w:csb1="00000000"/>
  </w:font>
  <w:font w:name="Berlin Sans FB Demi">
    <w:panose1 w:val="020E0802020502020306"/>
    <w:charset w:val="00"/>
    <w:family w:val="auto"/>
    <w:pitch w:val="default"/>
    <w:sig w:usb0="00000003" w:usb1="00000000" w:usb2="00000000" w:usb3="00000000" w:csb0="20000001" w:csb1="00000000"/>
  </w:font>
  <w:font w:name="Blackadder ITC">
    <w:panose1 w:val="04020505051007020D02"/>
    <w:charset w:val="00"/>
    <w:family w:val="auto"/>
    <w:pitch w:val="default"/>
    <w:sig w:usb0="00000003" w:usb1="00000000" w:usb2="00000000" w:usb3="00000000" w:csb0="20000001" w:csb1="00000000"/>
  </w:font>
  <w:font w:name="Bodoni MT">
    <w:panose1 w:val="02070603080606020203"/>
    <w:charset w:val="00"/>
    <w:family w:val="auto"/>
    <w:pitch w:val="default"/>
    <w:sig w:usb0="00000003" w:usb1="00000000" w:usb2="00000000" w:usb3="00000000" w:csb0="20000001" w:csb1="00000000"/>
  </w:font>
  <w:font w:name="Bodoni MT Condensed">
    <w:panose1 w:val="02070606080606020203"/>
    <w:charset w:val="00"/>
    <w:family w:val="auto"/>
    <w:pitch w:val="default"/>
    <w:sig w:usb0="00000003" w:usb1="00000000" w:usb2="00000000" w:usb3="00000000" w:csb0="20000001" w:csb1="00000000"/>
  </w:font>
  <w:font w:name="Bodoni MT Poster Compressed">
    <w:panose1 w:val="02070706080601050204"/>
    <w:charset w:val="00"/>
    <w:family w:val="auto"/>
    <w:pitch w:val="default"/>
    <w:sig w:usb0="00000003" w:usb1="00000000" w:usb2="00000000" w:usb3="00000000" w:csb0="20000011" w:csb1="00000000"/>
  </w:font>
  <w:font w:name="Book Antiqua">
    <w:panose1 w:val="02040602050305030304"/>
    <w:charset w:val="00"/>
    <w:family w:val="auto"/>
    <w:pitch w:val="default"/>
    <w:sig w:usb0="00000287" w:usb1="00000000" w:usb2="00000000" w:usb3="00000000" w:csb0="2000009F" w:csb1="DFD7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Britannic Bold">
    <w:panose1 w:val="020B0903060703020204"/>
    <w:charset w:val="00"/>
    <w:family w:val="auto"/>
    <w:pitch w:val="default"/>
    <w:sig w:usb0="00000003" w:usb1="00000000" w:usb2="00000000" w:usb3="00000000" w:csb0="20000001" w:csb1="00000000"/>
  </w:font>
  <w:font w:name="Brush Script MT">
    <w:panose1 w:val="03060802040406070304"/>
    <w:charset w:val="00"/>
    <w:family w:val="auto"/>
    <w:pitch w:val="default"/>
    <w:sig w:usb0="00000003" w:usb1="00000000" w:usb2="00000000" w:usb3="00000000" w:csb0="20000001" w:csb1="00000000"/>
  </w:font>
  <w:font w:name="Broadway">
    <w:panose1 w:val="04040905080B02020502"/>
    <w:charset w:val="00"/>
    <w:family w:val="auto"/>
    <w:pitch w:val="default"/>
    <w:sig w:usb0="00000003" w:usb1="00000000" w:usb2="00000000" w:usb3="00000000" w:csb0="20000001" w:csb1="00000000"/>
  </w:font>
  <w:font w:name="Cambria Math">
    <w:panose1 w:val="02040503050406030204"/>
    <w:charset w:val="00"/>
    <w:family w:val="auto"/>
    <w:pitch w:val="default"/>
    <w:sig w:usb0="A00002EF" w:usb1="420020EB" w:usb2="00000000" w:usb3="00000000" w:csb0="2000009F" w:csb1="00000000"/>
  </w:font>
  <w:font w:name="Colonna MT">
    <w:panose1 w:val="04020805060202030203"/>
    <w:charset w:val="00"/>
    <w:family w:val="auto"/>
    <w:pitch w:val="default"/>
    <w:sig w:usb0="00000003" w:usb1="00000000" w:usb2="00000000" w:usb3="00000000" w:csb0="20000001" w:csb1="00000000"/>
  </w:font>
  <w:font w:name="Eras Demi ITC">
    <w:panose1 w:val="020B0805030504020804"/>
    <w:charset w:val="00"/>
    <w:family w:val="auto"/>
    <w:pitch w:val="default"/>
    <w:sig w:usb0="00000003" w:usb1="00000000" w:usb2="00000000" w:usb3="00000000" w:csb0="20000001" w:csb1="00000000"/>
  </w:font>
  <w:font w:name="Eras Light ITC">
    <w:panose1 w:val="020B0402030504020804"/>
    <w:charset w:val="00"/>
    <w:family w:val="auto"/>
    <w:pitch w:val="default"/>
    <w:sig w:usb0="00000003" w:usb1="00000000" w:usb2="00000000" w:usb3="00000000" w:csb0="20000001" w:csb1="00000000"/>
  </w:font>
  <w:font w:name="Forte">
    <w:panose1 w:val="03060902040502070203"/>
    <w:charset w:val="00"/>
    <w:family w:val="auto"/>
    <w:pitch w:val="default"/>
    <w:sig w:usb0="00000003" w:usb1="00000000" w:usb2="00000000" w:usb3="00000000" w:csb0="20000001" w:csb1="00000000"/>
  </w:font>
  <w:font w:name="Nirmala UI">
    <w:panose1 w:val="020B0502040204020203"/>
    <w:charset w:val="00"/>
    <w:family w:val="auto"/>
    <w:pitch w:val="default"/>
    <w:sig w:usb0="80FF8023" w:usb1="0000004A" w:usb2="00000200" w:usb3="00040000" w:csb0="00000001" w:csb1="00000000"/>
  </w:font>
  <w:font w:name="Nirmala UI Semilight">
    <w:panose1 w:val="020B0402040204020203"/>
    <w:charset w:val="00"/>
    <w:family w:val="auto"/>
    <w:pitch w:val="default"/>
    <w:sig w:usb0="80FF8023" w:usb1="0000004A" w:usb2="00000200" w:usb3="00040000" w:csb0="00000001" w:csb1="00000000"/>
  </w:font>
  <w:font w:name="Tw Cen MT">
    <w:panose1 w:val="020B0602020104020603"/>
    <w:charset w:val="00"/>
    <w:family w:val="auto"/>
    <w:pitch w:val="default"/>
    <w:sig w:usb0="00000003" w:usb1="00000000" w:usb2="00000000" w:usb3="00000000" w:csb0="20000003" w:csb1="00000000"/>
  </w:font>
  <w:font w:name="Trebuchet MS">
    <w:panose1 w:val="020B0603020202020204"/>
    <w:charset w:val="00"/>
    <w:family w:val="auto"/>
    <w:pitch w:val="default"/>
    <w:sig w:usb0="00000687" w:usb1="00000000" w:usb2="00000000" w:usb3="00000000" w:csb0="2000009F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_5b8b_4f5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62541798">
    <w:nsid w:val="572C9DE6"/>
    <w:multiLevelType w:val="singleLevel"/>
    <w:tmpl w:val="572C9DE6"/>
    <w:lvl w:ilvl="0" w:tentative="1">
      <w:start w:val="2"/>
      <w:numFmt w:val="decimal"/>
      <w:suff w:val="nothing"/>
      <w:lvlText w:val="%1."/>
      <w:lvlJc w:val="left"/>
    </w:lvl>
  </w:abstractNum>
  <w:abstractNum w:abstractNumId="1457686061">
    <w:nsid w:val="56E2862D"/>
    <w:multiLevelType w:val="singleLevel"/>
    <w:tmpl w:val="56E2862D"/>
    <w:lvl w:ilvl="0" w:tentative="1">
      <w:start w:val="1"/>
      <w:numFmt w:val="decimal"/>
      <w:suff w:val="nothing"/>
      <w:lvlText w:val="%1."/>
      <w:lvlJc w:val="left"/>
    </w:lvl>
  </w:abstractNum>
  <w:abstractNum w:abstractNumId="1146820474">
    <w:nsid w:val="445B177A"/>
    <w:multiLevelType w:val="multilevel"/>
    <w:tmpl w:val="445B177A"/>
    <w:lvl w:ilvl="0" w:tentative="1">
      <w:start w:val="1"/>
      <w:numFmt w:val="decimal"/>
      <w:pStyle w:val="2"/>
      <w:lvlText w:val="%1."/>
      <w:lvlJc w:val="left"/>
      <w:pPr>
        <w:ind w:left="420" w:hanging="420"/>
      </w:pPr>
      <w:rPr>
        <w:rFonts w:hint="eastAsia"/>
        <w:b w:val="0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46820474"/>
  </w:num>
  <w:num w:numId="2">
    <w:abstractNumId w:val="1457686061"/>
  </w:num>
  <w:num w:numId="3">
    <w:abstractNumId w:val="146254179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C84EA4"/>
    <w:rsid w:val="05C84EA4"/>
    <w:rsid w:val="10150083"/>
    <w:rsid w:val="181E19A8"/>
    <w:rsid w:val="234B4AE1"/>
    <w:rsid w:val="25E329C4"/>
    <w:rsid w:val="33AD7722"/>
    <w:rsid w:val="509C23C0"/>
    <w:rsid w:val="7F04375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keepLines/>
      <w:numPr>
        <w:ilvl w:val="0"/>
        <w:numId w:val="1"/>
      </w:numPr>
      <w:spacing w:before="340" w:beforeLines="0" w:after="330" w:afterLines="0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6">
    <w:name w:val="标题 1 Char"/>
    <w:basedOn w:val="4"/>
    <w:link w:val="2"/>
    <w:uiPriority w:val="0"/>
    <w:rPr>
      <w:b/>
      <w:bCs/>
      <w:kern w:val="44"/>
      <w:sz w:val="44"/>
      <w:szCs w:val="44"/>
    </w:rPr>
  </w:style>
  <w:style w:type="paragraph" w:customStyle="1" w:styleId="7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2016-05-11T13:29:00Z</dcterms:created>
  <dc:creator>Air</dc:creator>
  <cp:lastModifiedBy>Air</cp:lastModifiedBy>
  <dcterms:modified xsi:type="dcterms:W3CDTF">2016-05-11T14:14:47Z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