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F18" w:rsidRPr="003F72BE" w:rsidRDefault="00340F18" w:rsidP="00340F18">
      <w:pPr>
        <w:spacing w:line="360" w:lineRule="auto"/>
        <w:jc w:val="center"/>
        <w:rPr>
          <w:rFonts w:ascii="黑体" w:eastAsia="黑体" w:hAnsi="黑体"/>
          <w:color w:val="000000"/>
          <w:sz w:val="32"/>
          <w:szCs w:val="32"/>
        </w:rPr>
      </w:pPr>
      <w:r w:rsidRPr="003F72BE">
        <w:rPr>
          <w:rFonts w:ascii="黑体" w:eastAsia="黑体" w:hAnsi="黑体"/>
          <w:color w:val="000000"/>
          <w:sz w:val="32"/>
          <w:szCs w:val="32"/>
        </w:rPr>
        <w:t>HER家族</w:t>
      </w:r>
      <w:r>
        <w:rPr>
          <w:rFonts w:ascii="黑体" w:eastAsia="黑体" w:hAnsi="黑体" w:hint="eastAsia"/>
          <w:color w:val="000000"/>
          <w:sz w:val="32"/>
          <w:szCs w:val="32"/>
        </w:rPr>
        <w:t>蛋白</w:t>
      </w:r>
      <w:r w:rsidRPr="003F72BE">
        <w:rPr>
          <w:rFonts w:ascii="黑体" w:eastAsia="黑体" w:hAnsi="黑体" w:hint="eastAsia"/>
          <w:color w:val="000000"/>
          <w:sz w:val="32"/>
          <w:szCs w:val="32"/>
        </w:rPr>
        <w:t>在</w:t>
      </w:r>
      <w:r w:rsidRPr="003F72BE">
        <w:rPr>
          <w:rFonts w:ascii="黑体" w:eastAsia="黑体" w:hAnsi="黑体"/>
          <w:color w:val="000000"/>
          <w:sz w:val="32"/>
          <w:szCs w:val="32"/>
        </w:rPr>
        <w:t>胃癌</w:t>
      </w:r>
      <w:r>
        <w:rPr>
          <w:rFonts w:ascii="黑体" w:eastAsia="黑体" w:hAnsi="黑体" w:hint="eastAsia"/>
          <w:color w:val="000000"/>
          <w:sz w:val="32"/>
          <w:szCs w:val="32"/>
        </w:rPr>
        <w:t>组织中</w:t>
      </w:r>
      <w:r w:rsidRPr="003F72BE">
        <w:rPr>
          <w:rFonts w:ascii="黑体" w:eastAsia="黑体" w:hAnsi="黑体"/>
          <w:color w:val="000000"/>
          <w:sz w:val="32"/>
          <w:szCs w:val="32"/>
        </w:rPr>
        <w:t>的表达及</w:t>
      </w:r>
      <w:r w:rsidRPr="003F72BE">
        <w:rPr>
          <w:rFonts w:ascii="黑体" w:eastAsia="黑体" w:hAnsi="黑体" w:hint="eastAsia"/>
          <w:color w:val="000000"/>
          <w:sz w:val="32"/>
          <w:szCs w:val="32"/>
        </w:rPr>
        <w:t>临床</w:t>
      </w:r>
      <w:r w:rsidRPr="003F72BE">
        <w:rPr>
          <w:rFonts w:ascii="黑体" w:eastAsia="黑体" w:hAnsi="黑体"/>
          <w:color w:val="000000"/>
          <w:sz w:val="32"/>
          <w:szCs w:val="32"/>
        </w:rPr>
        <w:t>意义</w:t>
      </w:r>
    </w:p>
    <w:p w:rsidR="00340F18" w:rsidRPr="00340F18" w:rsidRDefault="00340F18" w:rsidP="00340F18">
      <w:pPr>
        <w:pStyle w:val="1"/>
        <w:jc w:val="center"/>
        <w:rPr>
          <w:rFonts w:ascii="Times New Roman" w:eastAsia="宋体" w:hAnsi="Times New Roman" w:cs="Times New Roman" w:hint="eastAsia"/>
          <w:bCs w:val="0"/>
          <w:kern w:val="2"/>
          <w:sz w:val="24"/>
          <w:szCs w:val="24"/>
        </w:rPr>
      </w:pPr>
      <w:bookmarkStart w:id="0" w:name="OLE_LINK13"/>
      <w:bookmarkStart w:id="1" w:name="OLE_LINK14"/>
      <w:bookmarkStart w:id="2" w:name="_Toc445669741"/>
      <w:r w:rsidRPr="00340F18">
        <w:rPr>
          <w:rFonts w:ascii="Times New Roman" w:eastAsia="宋体" w:hAnsi="Times New Roman" w:cs="Times New Roman" w:hint="eastAsia"/>
          <w:bCs w:val="0"/>
          <w:kern w:val="2"/>
          <w:sz w:val="24"/>
          <w:szCs w:val="24"/>
        </w:rPr>
        <w:t>研究生：金怀亮</w:t>
      </w:r>
    </w:p>
    <w:p w:rsidR="00340F18" w:rsidRPr="00340F18" w:rsidRDefault="00340F18" w:rsidP="00340F18">
      <w:pPr>
        <w:jc w:val="center"/>
        <w:rPr>
          <w:rFonts w:hint="eastAsia"/>
          <w:color w:val="000000"/>
          <w:sz w:val="24"/>
        </w:rPr>
      </w:pPr>
      <w:r w:rsidRPr="00340F18">
        <w:rPr>
          <w:rFonts w:hint="eastAsia"/>
          <w:color w:val="000000"/>
          <w:sz w:val="24"/>
        </w:rPr>
        <w:t>指导教师：岳文斌</w:t>
      </w:r>
    </w:p>
    <w:p w:rsidR="00340F18" w:rsidRPr="00770402" w:rsidRDefault="00340F18" w:rsidP="00340F18">
      <w:pPr>
        <w:pStyle w:val="1"/>
        <w:jc w:val="center"/>
        <w:rPr>
          <w:rFonts w:hint="eastAsia"/>
          <w:szCs w:val="32"/>
        </w:rPr>
      </w:pPr>
      <w:r w:rsidRPr="00770402">
        <w:rPr>
          <w:rFonts w:hint="eastAsia"/>
          <w:szCs w:val="28"/>
        </w:rPr>
        <w:t>摘要</w:t>
      </w:r>
      <w:bookmarkEnd w:id="0"/>
      <w:bookmarkEnd w:id="1"/>
      <w:bookmarkEnd w:id="2"/>
    </w:p>
    <w:p w:rsidR="00340F18" w:rsidRPr="00F16366" w:rsidRDefault="00340F18" w:rsidP="00340F18">
      <w:pPr>
        <w:pStyle w:val="a3"/>
        <w:ind w:firstLineChars="0" w:firstLine="0"/>
        <w:jc w:val="left"/>
        <w:rPr>
          <w:rFonts w:ascii="Times New Roman" w:hAnsi="Times New Roman" w:cs="Times New Roman"/>
          <w:color w:val="000000"/>
          <w:sz w:val="28"/>
          <w:szCs w:val="28"/>
        </w:rPr>
      </w:pPr>
      <w:r w:rsidRPr="00F16366">
        <w:rPr>
          <w:rFonts w:ascii="黑体" w:hAnsi="黑体" w:cs="Times New Roman"/>
          <w:b w:val="0"/>
          <w:color w:val="000000"/>
          <w:sz w:val="28"/>
          <w:szCs w:val="28"/>
        </w:rPr>
        <w:t>背景</w:t>
      </w:r>
    </w:p>
    <w:p w:rsidR="00340F18" w:rsidRDefault="00340F18" w:rsidP="00340F18">
      <w:pPr>
        <w:spacing w:line="360" w:lineRule="auto"/>
        <w:ind w:firstLineChars="200" w:firstLine="480"/>
        <w:rPr>
          <w:color w:val="000000"/>
          <w:sz w:val="24"/>
        </w:rPr>
      </w:pPr>
      <w:r>
        <w:rPr>
          <w:color w:val="000000"/>
          <w:sz w:val="24"/>
        </w:rPr>
        <w:t>胃癌的预后较差，是癌症相关死亡的</w:t>
      </w:r>
      <w:r>
        <w:rPr>
          <w:rFonts w:hint="eastAsia"/>
          <w:color w:val="000000"/>
          <w:sz w:val="24"/>
        </w:rPr>
        <w:t>主要原因之一</w:t>
      </w:r>
      <w:r>
        <w:rPr>
          <w:color w:val="000000"/>
          <w:sz w:val="24"/>
        </w:rPr>
        <w:t>。肿瘤血管生成是实体肿瘤进展的一个关键点，因此，调节血管生成的信号分子成为目前研究的热点。表皮生长因子受体属于酪氨酸激酶家族，在细胞增殖、凋亡、血管生成和转移中起重要作用。目前，国内外关于</w:t>
      </w:r>
      <w:r>
        <w:rPr>
          <w:color w:val="000000"/>
          <w:sz w:val="24"/>
        </w:rPr>
        <w:t>HER</w:t>
      </w:r>
      <w:r>
        <w:rPr>
          <w:color w:val="000000"/>
          <w:sz w:val="24"/>
        </w:rPr>
        <w:t>家族单一成员在胃癌中的研究很多</w:t>
      </w:r>
      <w:r>
        <w:rPr>
          <w:rFonts w:hint="eastAsia"/>
          <w:color w:val="000000"/>
          <w:sz w:val="24"/>
        </w:rPr>
        <w:t>（如</w:t>
      </w:r>
      <w:r>
        <w:rPr>
          <w:rFonts w:hint="eastAsia"/>
          <w:color w:val="000000"/>
          <w:sz w:val="24"/>
        </w:rPr>
        <w:t>EGFR</w:t>
      </w:r>
      <w:r>
        <w:rPr>
          <w:rFonts w:hint="eastAsia"/>
          <w:color w:val="000000"/>
          <w:sz w:val="24"/>
        </w:rPr>
        <w:t>、</w:t>
      </w:r>
      <w:r>
        <w:rPr>
          <w:rFonts w:hint="eastAsia"/>
          <w:color w:val="000000"/>
          <w:sz w:val="24"/>
        </w:rPr>
        <w:t>HER-2</w:t>
      </w:r>
      <w:r>
        <w:rPr>
          <w:rFonts w:hint="eastAsia"/>
          <w:color w:val="000000"/>
          <w:sz w:val="24"/>
        </w:rPr>
        <w:t>等）</w:t>
      </w:r>
      <w:r>
        <w:rPr>
          <w:color w:val="000000"/>
          <w:sz w:val="24"/>
        </w:rPr>
        <w:t>，</w:t>
      </w:r>
      <w:r>
        <w:rPr>
          <w:rFonts w:hint="eastAsia"/>
          <w:color w:val="000000"/>
          <w:sz w:val="24"/>
        </w:rPr>
        <w:t>并将其抑制剂用于临床靶向治疗，然而</w:t>
      </w:r>
      <w:r>
        <w:rPr>
          <w:color w:val="000000"/>
          <w:sz w:val="24"/>
        </w:rPr>
        <w:t>系统监测多种受体蛋白在胃癌组织中的表达并结合临床病理参数进行相关性综合分析</w:t>
      </w:r>
      <w:r>
        <w:rPr>
          <w:rFonts w:hint="eastAsia"/>
          <w:color w:val="000000"/>
          <w:sz w:val="24"/>
        </w:rPr>
        <w:t>鲜</w:t>
      </w:r>
      <w:r>
        <w:rPr>
          <w:color w:val="000000"/>
          <w:sz w:val="24"/>
        </w:rPr>
        <w:t>见报道。</w:t>
      </w:r>
    </w:p>
    <w:p w:rsidR="00340F18" w:rsidRPr="00F16366" w:rsidRDefault="00340F18" w:rsidP="00340F18">
      <w:pPr>
        <w:pStyle w:val="a3"/>
        <w:ind w:firstLineChars="0" w:firstLine="0"/>
        <w:jc w:val="left"/>
        <w:rPr>
          <w:rFonts w:ascii="黑体" w:hAnsi="黑体" w:cs="Times New Roman"/>
          <w:b w:val="0"/>
          <w:color w:val="000000"/>
          <w:sz w:val="28"/>
          <w:szCs w:val="28"/>
        </w:rPr>
      </w:pPr>
      <w:r w:rsidRPr="00F16366">
        <w:rPr>
          <w:rFonts w:ascii="黑体" w:hAnsi="黑体" w:cs="Times New Roman"/>
          <w:b w:val="0"/>
          <w:color w:val="000000"/>
          <w:sz w:val="28"/>
          <w:szCs w:val="28"/>
        </w:rPr>
        <w:t>目的</w:t>
      </w:r>
    </w:p>
    <w:p w:rsidR="00340F18" w:rsidRDefault="00340F18" w:rsidP="00340F18">
      <w:pPr>
        <w:spacing w:line="360" w:lineRule="auto"/>
        <w:ind w:firstLineChars="200" w:firstLine="480"/>
        <w:rPr>
          <w:color w:val="000000"/>
          <w:sz w:val="24"/>
        </w:rPr>
      </w:pPr>
      <w:r>
        <w:rPr>
          <w:color w:val="000000"/>
          <w:sz w:val="24"/>
        </w:rPr>
        <w:t>本研究通过针对</w:t>
      </w:r>
      <w:r>
        <w:rPr>
          <w:rFonts w:hint="eastAsia"/>
          <w:color w:val="000000"/>
          <w:sz w:val="24"/>
        </w:rPr>
        <w:t>164</w:t>
      </w:r>
      <w:r w:rsidRPr="00131D47">
        <w:rPr>
          <w:rFonts w:hint="eastAsia"/>
          <w:color w:val="000000"/>
          <w:sz w:val="24"/>
        </w:rPr>
        <w:t>例</w:t>
      </w:r>
      <w:r>
        <w:rPr>
          <w:color w:val="000000"/>
          <w:sz w:val="24"/>
        </w:rPr>
        <w:t>确诊的胃癌患者组织样本中</w:t>
      </w:r>
      <w:r>
        <w:rPr>
          <w:color w:val="000000"/>
          <w:sz w:val="24"/>
        </w:rPr>
        <w:t>HER</w:t>
      </w:r>
      <w:r>
        <w:rPr>
          <w:color w:val="000000"/>
          <w:sz w:val="24"/>
        </w:rPr>
        <w:t>家族的表达进行临床检测，探讨人表皮生长因子受体</w:t>
      </w:r>
      <w:r>
        <w:rPr>
          <w:color w:val="000000"/>
          <w:sz w:val="24"/>
        </w:rPr>
        <w:t>(Human Epidermal Growth Factor Receptor</w:t>
      </w:r>
      <w:r>
        <w:rPr>
          <w:color w:val="000000"/>
          <w:sz w:val="24"/>
        </w:rPr>
        <w:t>，</w:t>
      </w:r>
      <w:r>
        <w:rPr>
          <w:color w:val="000000"/>
          <w:sz w:val="24"/>
        </w:rPr>
        <w:t>HER)</w:t>
      </w:r>
      <w:r>
        <w:rPr>
          <w:color w:val="000000"/>
          <w:sz w:val="24"/>
        </w:rPr>
        <w:t>在胃癌组织的表达情况，以及与胃癌预后的关系</w:t>
      </w:r>
      <w:r>
        <w:rPr>
          <w:rFonts w:hint="eastAsia"/>
          <w:color w:val="000000"/>
          <w:sz w:val="24"/>
        </w:rPr>
        <w:t>，</w:t>
      </w:r>
      <w:r>
        <w:rPr>
          <w:sz w:val="24"/>
        </w:rPr>
        <w:t>有望为针对该类受体家族的胃癌靶向检测、治疗与预后提供重要参考</w:t>
      </w:r>
      <w:r>
        <w:rPr>
          <w:rFonts w:hint="eastAsia"/>
          <w:sz w:val="24"/>
        </w:rPr>
        <w:t>。</w:t>
      </w:r>
    </w:p>
    <w:p w:rsidR="00340F18" w:rsidRPr="00F16366" w:rsidRDefault="00340F18" w:rsidP="00340F18">
      <w:pPr>
        <w:pStyle w:val="a3"/>
        <w:ind w:firstLineChars="0" w:firstLine="0"/>
        <w:jc w:val="left"/>
        <w:rPr>
          <w:rFonts w:ascii="黑体" w:hAnsi="黑体" w:cs="Times New Roman"/>
          <w:b w:val="0"/>
          <w:color w:val="000000"/>
          <w:sz w:val="28"/>
          <w:szCs w:val="28"/>
        </w:rPr>
      </w:pPr>
      <w:r w:rsidRPr="00F16366">
        <w:rPr>
          <w:rFonts w:ascii="黑体" w:hAnsi="黑体" w:cs="Times New Roman"/>
          <w:b w:val="0"/>
          <w:color w:val="000000"/>
          <w:sz w:val="28"/>
          <w:szCs w:val="28"/>
        </w:rPr>
        <w:t>方法</w:t>
      </w:r>
    </w:p>
    <w:p w:rsidR="00340F18" w:rsidRDefault="00340F18" w:rsidP="00340F18">
      <w:pPr>
        <w:spacing w:line="360" w:lineRule="auto"/>
        <w:ind w:firstLineChars="196" w:firstLine="470"/>
        <w:rPr>
          <w:color w:val="000000"/>
          <w:sz w:val="24"/>
        </w:rPr>
      </w:pPr>
      <w:r>
        <w:rPr>
          <w:color w:val="000000"/>
          <w:sz w:val="24"/>
        </w:rPr>
        <w:t>选取</w:t>
      </w:r>
      <w:r>
        <w:rPr>
          <w:rFonts w:hint="eastAsia"/>
          <w:color w:val="000000"/>
          <w:sz w:val="24"/>
        </w:rPr>
        <w:t>164</w:t>
      </w:r>
      <w:r>
        <w:rPr>
          <w:color w:val="000000"/>
          <w:sz w:val="24"/>
        </w:rPr>
        <w:t>例胃癌患者（男性</w:t>
      </w:r>
      <w:r>
        <w:rPr>
          <w:rFonts w:hint="eastAsia"/>
          <w:color w:val="000000"/>
          <w:sz w:val="24"/>
        </w:rPr>
        <w:t>120</w:t>
      </w:r>
      <w:r>
        <w:rPr>
          <w:color w:val="000000"/>
          <w:sz w:val="24"/>
        </w:rPr>
        <w:t>例，女性</w:t>
      </w:r>
      <w:r>
        <w:rPr>
          <w:rFonts w:hint="eastAsia"/>
          <w:color w:val="000000"/>
          <w:sz w:val="24"/>
        </w:rPr>
        <w:t>44</w:t>
      </w:r>
      <w:r>
        <w:rPr>
          <w:color w:val="000000"/>
          <w:sz w:val="24"/>
        </w:rPr>
        <w:t>例）作为</w:t>
      </w:r>
      <w:r>
        <w:rPr>
          <w:rFonts w:hint="eastAsia"/>
          <w:color w:val="000000"/>
          <w:sz w:val="24"/>
        </w:rPr>
        <w:t>研究对象，</w:t>
      </w:r>
      <w:r>
        <w:rPr>
          <w:color w:val="000000"/>
          <w:sz w:val="24"/>
        </w:rPr>
        <w:t>采用免疫组化法</w:t>
      </w:r>
      <w:r>
        <w:rPr>
          <w:rFonts w:hint="eastAsia"/>
          <w:color w:val="000000"/>
          <w:sz w:val="24"/>
        </w:rPr>
        <w:t>和</w:t>
      </w:r>
      <w:r w:rsidRPr="000475AF">
        <w:rPr>
          <w:color w:val="000000"/>
          <w:sz w:val="24"/>
        </w:rPr>
        <w:t>Western Blot</w:t>
      </w:r>
      <w:r w:rsidRPr="000475AF">
        <w:rPr>
          <w:rFonts w:hAnsi="宋体"/>
          <w:color w:val="000000"/>
          <w:sz w:val="24"/>
        </w:rPr>
        <w:t>法</w:t>
      </w:r>
      <w:r>
        <w:rPr>
          <w:color w:val="000000"/>
          <w:sz w:val="24"/>
        </w:rPr>
        <w:t>检测了</w:t>
      </w:r>
      <w:r>
        <w:rPr>
          <w:rFonts w:hint="eastAsia"/>
          <w:color w:val="000000"/>
          <w:sz w:val="24"/>
        </w:rPr>
        <w:t>胃癌</w:t>
      </w:r>
      <w:r>
        <w:rPr>
          <w:color w:val="000000"/>
          <w:sz w:val="24"/>
        </w:rPr>
        <w:t>组织中</w:t>
      </w:r>
      <w:r>
        <w:rPr>
          <w:rFonts w:hint="eastAsia"/>
          <w:color w:val="000000"/>
          <w:sz w:val="24"/>
        </w:rPr>
        <w:t>EGFR</w:t>
      </w:r>
      <w:r>
        <w:rPr>
          <w:rFonts w:hint="eastAsia"/>
          <w:color w:val="000000"/>
          <w:sz w:val="24"/>
        </w:rPr>
        <w:t>、</w:t>
      </w:r>
      <w:r>
        <w:rPr>
          <w:color w:val="000000"/>
          <w:sz w:val="24"/>
        </w:rPr>
        <w:t>HER-2</w:t>
      </w:r>
      <w:r>
        <w:rPr>
          <w:rFonts w:hint="eastAsia"/>
          <w:color w:val="000000"/>
          <w:sz w:val="24"/>
        </w:rPr>
        <w:t>、</w:t>
      </w:r>
      <w:r>
        <w:rPr>
          <w:color w:val="000000"/>
          <w:sz w:val="24"/>
        </w:rPr>
        <w:t>HER-3</w:t>
      </w:r>
      <w:r>
        <w:rPr>
          <w:rFonts w:hint="eastAsia"/>
          <w:color w:val="000000"/>
          <w:sz w:val="24"/>
        </w:rPr>
        <w:t>和</w:t>
      </w:r>
      <w:r>
        <w:rPr>
          <w:rFonts w:hint="eastAsia"/>
          <w:color w:val="000000"/>
          <w:sz w:val="24"/>
        </w:rPr>
        <w:t>HER-4</w:t>
      </w:r>
      <w:r>
        <w:rPr>
          <w:color w:val="000000"/>
          <w:sz w:val="24"/>
        </w:rPr>
        <w:t>表达</w:t>
      </w:r>
      <w:r>
        <w:rPr>
          <w:rFonts w:hint="eastAsia"/>
          <w:color w:val="000000"/>
          <w:sz w:val="24"/>
        </w:rPr>
        <w:t>情况，</w:t>
      </w:r>
      <w:r>
        <w:rPr>
          <w:color w:val="000000"/>
          <w:sz w:val="24"/>
        </w:rPr>
        <w:t>分析</w:t>
      </w:r>
      <w:r>
        <w:rPr>
          <w:rFonts w:hint="eastAsia"/>
          <w:color w:val="000000"/>
          <w:sz w:val="24"/>
        </w:rPr>
        <w:t>不同</w:t>
      </w:r>
      <w:r>
        <w:rPr>
          <w:color w:val="000000"/>
          <w:sz w:val="24"/>
        </w:rPr>
        <w:t>表达</w:t>
      </w:r>
      <w:r>
        <w:rPr>
          <w:rFonts w:hint="eastAsia"/>
          <w:color w:val="000000"/>
          <w:sz w:val="24"/>
        </w:rPr>
        <w:t>情况</w:t>
      </w:r>
      <w:r>
        <w:rPr>
          <w:color w:val="000000"/>
          <w:sz w:val="24"/>
        </w:rPr>
        <w:t>与临床病理特征的关系及</w:t>
      </w:r>
      <w:r>
        <w:rPr>
          <w:rFonts w:hint="eastAsia"/>
          <w:color w:val="000000"/>
          <w:sz w:val="24"/>
        </w:rPr>
        <w:t>预后</w:t>
      </w:r>
      <w:r>
        <w:rPr>
          <w:bCs/>
          <w:color w:val="000000"/>
          <w:sz w:val="24"/>
        </w:rPr>
        <w:t>的相关性。</w:t>
      </w:r>
      <w:r>
        <w:rPr>
          <w:color w:val="000000"/>
          <w:sz w:val="24"/>
        </w:rPr>
        <w:t>实验数据借助</w:t>
      </w:r>
      <w:r>
        <w:rPr>
          <w:color w:val="000000"/>
          <w:sz w:val="24"/>
        </w:rPr>
        <w:t>SPSS22.0</w:t>
      </w:r>
      <w:r>
        <w:rPr>
          <w:color w:val="000000"/>
          <w:sz w:val="24"/>
        </w:rPr>
        <w:t>统计软件分析，</w:t>
      </w:r>
      <w:r w:rsidRPr="00AE3107">
        <w:rPr>
          <w:rFonts w:hint="eastAsia"/>
          <w:color w:val="000000"/>
          <w:sz w:val="24"/>
        </w:rPr>
        <w:t>计量资料采用</w:t>
      </w:r>
      <w:r w:rsidRPr="00762D91">
        <w:rPr>
          <w:rFonts w:hint="eastAsia"/>
          <w:i/>
          <w:color w:val="000000"/>
          <w:sz w:val="24"/>
        </w:rPr>
        <w:t>t</w:t>
      </w:r>
      <w:r w:rsidRPr="00AE3107">
        <w:rPr>
          <w:rFonts w:hint="eastAsia"/>
          <w:color w:val="000000"/>
          <w:sz w:val="24"/>
        </w:rPr>
        <w:t>检验，</w:t>
      </w:r>
      <w:r w:rsidRPr="00AE3107">
        <w:rPr>
          <w:color w:val="000000"/>
          <w:sz w:val="24"/>
        </w:rPr>
        <w:t>计数资料比较采用</w:t>
      </w:r>
      <w:r w:rsidRPr="00AE3107">
        <w:rPr>
          <w:color w:val="000000"/>
          <w:sz w:val="24"/>
        </w:rPr>
        <w:t>χ</w:t>
      </w:r>
      <w:r w:rsidRPr="00762D91">
        <w:rPr>
          <w:color w:val="000000"/>
          <w:sz w:val="24"/>
          <w:vertAlign w:val="superscript"/>
        </w:rPr>
        <w:t>2</w:t>
      </w:r>
      <w:r w:rsidRPr="00AE3107">
        <w:rPr>
          <w:color w:val="000000"/>
          <w:sz w:val="24"/>
        </w:rPr>
        <w:t>检验</w:t>
      </w:r>
      <w:r>
        <w:rPr>
          <w:color w:val="000000"/>
          <w:sz w:val="24"/>
        </w:rPr>
        <w:t>，</w:t>
      </w:r>
      <w:r>
        <w:rPr>
          <w:bCs/>
          <w:color w:val="000000"/>
          <w:sz w:val="24"/>
        </w:rPr>
        <w:t>其预后采用</w:t>
      </w:r>
      <w:r>
        <w:rPr>
          <w:color w:val="000000"/>
          <w:sz w:val="24"/>
        </w:rPr>
        <w:t>Kaplan-Meier</w:t>
      </w:r>
      <w:r>
        <w:rPr>
          <w:bCs/>
          <w:color w:val="000000"/>
          <w:sz w:val="24"/>
        </w:rPr>
        <w:t>生存分析</w:t>
      </w:r>
      <w:r>
        <w:rPr>
          <w:color w:val="000000"/>
          <w:sz w:val="24"/>
        </w:rPr>
        <w:t>，</w:t>
      </w:r>
      <w:r>
        <w:rPr>
          <w:rFonts w:hint="eastAsia"/>
          <w:color w:val="000000"/>
          <w:sz w:val="24"/>
        </w:rPr>
        <w:t>以</w:t>
      </w:r>
      <w:r w:rsidRPr="002274F3">
        <w:rPr>
          <w:i/>
          <w:color w:val="000000"/>
          <w:sz w:val="24"/>
        </w:rPr>
        <w:t>P</w:t>
      </w:r>
      <w:r>
        <w:rPr>
          <w:color w:val="000000"/>
          <w:sz w:val="24"/>
        </w:rPr>
        <w:t>&lt;0.05</w:t>
      </w:r>
      <w:r>
        <w:rPr>
          <w:rFonts w:hint="eastAsia"/>
          <w:color w:val="000000"/>
          <w:sz w:val="24"/>
        </w:rPr>
        <w:t>被认</w:t>
      </w:r>
      <w:r>
        <w:rPr>
          <w:color w:val="000000"/>
          <w:sz w:val="24"/>
        </w:rPr>
        <w:t>为差异有统计学意义。</w:t>
      </w:r>
    </w:p>
    <w:p w:rsidR="00340F18" w:rsidRPr="00F16366" w:rsidRDefault="00340F18" w:rsidP="00340F18">
      <w:pPr>
        <w:pStyle w:val="a3"/>
        <w:ind w:firstLineChars="0" w:firstLine="0"/>
        <w:jc w:val="left"/>
        <w:rPr>
          <w:rFonts w:ascii="黑体" w:hAnsi="黑体" w:cs="Times New Roman"/>
          <w:b w:val="0"/>
          <w:color w:val="000000"/>
          <w:sz w:val="28"/>
          <w:szCs w:val="28"/>
        </w:rPr>
      </w:pPr>
      <w:r w:rsidRPr="00F16366">
        <w:rPr>
          <w:rFonts w:ascii="黑体" w:hAnsi="黑体" w:cs="Times New Roman"/>
          <w:b w:val="0"/>
          <w:color w:val="000000"/>
          <w:sz w:val="28"/>
          <w:szCs w:val="28"/>
        </w:rPr>
        <w:t>结果</w:t>
      </w:r>
    </w:p>
    <w:p w:rsidR="00340F18" w:rsidRDefault="00340F18" w:rsidP="00340F18">
      <w:pPr>
        <w:spacing w:line="360" w:lineRule="auto"/>
        <w:ind w:firstLineChars="200" w:firstLine="480"/>
        <w:rPr>
          <w:rFonts w:hAnsi="Arial"/>
          <w:color w:val="000000"/>
          <w:szCs w:val="32"/>
        </w:rPr>
      </w:pPr>
      <w:r>
        <w:rPr>
          <w:color w:val="000000"/>
          <w:sz w:val="24"/>
        </w:rPr>
        <w:t>本研究结果发现</w:t>
      </w:r>
      <w:r>
        <w:rPr>
          <w:rFonts w:hint="eastAsia"/>
          <w:color w:val="000000"/>
          <w:sz w:val="24"/>
        </w:rPr>
        <w:t>胃癌组织中</w:t>
      </w:r>
      <w:r>
        <w:rPr>
          <w:rFonts w:hint="eastAsia"/>
          <w:color w:val="000000"/>
          <w:sz w:val="24"/>
        </w:rPr>
        <w:t>EGFR</w:t>
      </w:r>
      <w:r>
        <w:rPr>
          <w:rFonts w:hint="eastAsia"/>
          <w:color w:val="000000"/>
          <w:sz w:val="24"/>
        </w:rPr>
        <w:t>的阳性表达率为</w:t>
      </w:r>
      <w:r>
        <w:rPr>
          <w:rFonts w:hint="eastAsia"/>
          <w:color w:val="000000"/>
          <w:sz w:val="24"/>
        </w:rPr>
        <w:t>40.24%</w:t>
      </w:r>
      <w:r>
        <w:rPr>
          <w:rFonts w:hint="eastAsia"/>
          <w:color w:val="000000"/>
          <w:sz w:val="24"/>
        </w:rPr>
        <w:t>（</w:t>
      </w:r>
      <w:r>
        <w:rPr>
          <w:rFonts w:hint="eastAsia"/>
          <w:color w:val="000000"/>
          <w:sz w:val="24"/>
        </w:rPr>
        <w:t>66/164</w:t>
      </w:r>
      <w:r>
        <w:rPr>
          <w:rFonts w:hint="eastAsia"/>
          <w:color w:val="000000"/>
          <w:sz w:val="24"/>
        </w:rPr>
        <w:t>），</w:t>
      </w:r>
      <w:r>
        <w:rPr>
          <w:rFonts w:hint="eastAsia"/>
          <w:color w:val="000000"/>
          <w:sz w:val="24"/>
        </w:rPr>
        <w:t>HER-2</w:t>
      </w:r>
      <w:r>
        <w:rPr>
          <w:rFonts w:hint="eastAsia"/>
          <w:color w:val="000000"/>
          <w:sz w:val="24"/>
        </w:rPr>
        <w:t>阳性表达率为</w:t>
      </w:r>
      <w:r>
        <w:rPr>
          <w:rFonts w:hint="eastAsia"/>
          <w:color w:val="000000"/>
          <w:sz w:val="24"/>
        </w:rPr>
        <w:t>33.54%</w:t>
      </w:r>
      <w:r>
        <w:rPr>
          <w:rFonts w:hint="eastAsia"/>
          <w:color w:val="000000"/>
          <w:sz w:val="24"/>
        </w:rPr>
        <w:t>（</w:t>
      </w:r>
      <w:r>
        <w:rPr>
          <w:rFonts w:hint="eastAsia"/>
          <w:color w:val="000000"/>
          <w:sz w:val="24"/>
        </w:rPr>
        <w:t>55/164</w:t>
      </w:r>
      <w:r>
        <w:rPr>
          <w:rFonts w:hint="eastAsia"/>
          <w:color w:val="000000"/>
          <w:sz w:val="24"/>
        </w:rPr>
        <w:t>），</w:t>
      </w:r>
      <w:r>
        <w:rPr>
          <w:rFonts w:hint="eastAsia"/>
          <w:color w:val="000000"/>
          <w:sz w:val="24"/>
        </w:rPr>
        <w:t>HER-3</w:t>
      </w:r>
      <w:r>
        <w:rPr>
          <w:rFonts w:hint="eastAsia"/>
          <w:color w:val="000000"/>
          <w:sz w:val="24"/>
        </w:rPr>
        <w:t>阳性表达率为</w:t>
      </w:r>
      <w:r>
        <w:rPr>
          <w:rFonts w:hint="eastAsia"/>
          <w:color w:val="000000"/>
          <w:sz w:val="24"/>
        </w:rPr>
        <w:t>67.07%</w:t>
      </w:r>
      <w:r>
        <w:rPr>
          <w:rFonts w:hint="eastAsia"/>
          <w:color w:val="000000"/>
          <w:sz w:val="24"/>
        </w:rPr>
        <w:t>（</w:t>
      </w:r>
      <w:r>
        <w:rPr>
          <w:rFonts w:hint="eastAsia"/>
          <w:color w:val="000000"/>
          <w:sz w:val="24"/>
        </w:rPr>
        <w:t>110/164</w:t>
      </w:r>
      <w:r>
        <w:rPr>
          <w:rFonts w:hint="eastAsia"/>
          <w:color w:val="000000"/>
          <w:sz w:val="24"/>
        </w:rPr>
        <w:t>），</w:t>
      </w:r>
      <w:r>
        <w:rPr>
          <w:rFonts w:hint="eastAsia"/>
          <w:color w:val="000000"/>
          <w:sz w:val="24"/>
        </w:rPr>
        <w:t>HER-4</w:t>
      </w:r>
      <w:r>
        <w:rPr>
          <w:rFonts w:hint="eastAsia"/>
          <w:color w:val="000000"/>
          <w:sz w:val="24"/>
        </w:rPr>
        <w:t>阳性表达率为</w:t>
      </w:r>
      <w:r>
        <w:rPr>
          <w:rFonts w:hint="eastAsia"/>
          <w:color w:val="000000"/>
          <w:sz w:val="24"/>
        </w:rPr>
        <w:t>51.83%</w:t>
      </w:r>
      <w:r>
        <w:rPr>
          <w:rFonts w:hint="eastAsia"/>
          <w:color w:val="000000"/>
          <w:sz w:val="24"/>
        </w:rPr>
        <w:t>（</w:t>
      </w:r>
      <w:r>
        <w:rPr>
          <w:rFonts w:hint="eastAsia"/>
          <w:color w:val="000000"/>
          <w:sz w:val="24"/>
        </w:rPr>
        <w:t>85/164</w:t>
      </w:r>
      <w:r>
        <w:rPr>
          <w:rFonts w:hint="eastAsia"/>
          <w:color w:val="000000"/>
          <w:sz w:val="24"/>
        </w:rPr>
        <w:t>），其阳性表达率均与性别、年龄、分化程度、肿瘤部位及大小无关，与</w:t>
      </w:r>
      <w:r>
        <w:rPr>
          <w:rFonts w:hint="eastAsia"/>
          <w:color w:val="000000"/>
          <w:sz w:val="24"/>
        </w:rPr>
        <w:t>TNM</w:t>
      </w:r>
      <w:r>
        <w:rPr>
          <w:rFonts w:hint="eastAsia"/>
          <w:color w:val="000000"/>
          <w:sz w:val="24"/>
        </w:rPr>
        <w:t>分期、浸润深度及远处转移均相关，除</w:t>
      </w:r>
      <w:r>
        <w:rPr>
          <w:rFonts w:hint="eastAsia"/>
          <w:color w:val="000000"/>
          <w:sz w:val="24"/>
        </w:rPr>
        <w:t>HER-4</w:t>
      </w:r>
      <w:r>
        <w:rPr>
          <w:rFonts w:hint="eastAsia"/>
          <w:color w:val="000000"/>
          <w:sz w:val="24"/>
        </w:rPr>
        <w:t>外，</w:t>
      </w:r>
      <w:r>
        <w:rPr>
          <w:rFonts w:hint="eastAsia"/>
          <w:color w:val="000000"/>
          <w:sz w:val="24"/>
        </w:rPr>
        <w:lastRenderedPageBreak/>
        <w:t>其余三个还与淋巴结转移相关。</w:t>
      </w:r>
      <w:r w:rsidRPr="000475AF">
        <w:rPr>
          <w:color w:val="000000"/>
          <w:sz w:val="24"/>
        </w:rPr>
        <w:t>Western Blot</w:t>
      </w:r>
      <w:r>
        <w:rPr>
          <w:rFonts w:hint="eastAsia"/>
          <w:color w:val="000000"/>
          <w:sz w:val="24"/>
        </w:rPr>
        <w:t>结果显示胃癌组织中</w:t>
      </w:r>
      <w:r>
        <w:rPr>
          <w:rFonts w:hint="eastAsia"/>
          <w:color w:val="000000"/>
          <w:sz w:val="24"/>
        </w:rPr>
        <w:t>HER</w:t>
      </w:r>
      <w:r>
        <w:rPr>
          <w:rFonts w:hint="eastAsia"/>
          <w:color w:val="000000"/>
          <w:sz w:val="24"/>
        </w:rPr>
        <w:t>表达量</w:t>
      </w:r>
      <w:r>
        <w:rPr>
          <w:rFonts w:hAnsi="宋体" w:hint="eastAsia"/>
          <w:color w:val="000000"/>
          <w:sz w:val="24"/>
        </w:rPr>
        <w:t>明显高于癌旁组织，并且分期越晚表达量越高。</w:t>
      </w:r>
      <w:r>
        <w:rPr>
          <w:rFonts w:hint="eastAsia"/>
          <w:color w:val="000000"/>
          <w:sz w:val="24"/>
        </w:rPr>
        <w:t>胃癌组织</w:t>
      </w:r>
      <w:r>
        <w:rPr>
          <w:rFonts w:hint="eastAsia"/>
          <w:color w:val="000000"/>
          <w:sz w:val="24"/>
        </w:rPr>
        <w:t>EGFR</w:t>
      </w:r>
      <w:r>
        <w:rPr>
          <w:rFonts w:hint="eastAsia"/>
          <w:color w:val="000000"/>
          <w:sz w:val="24"/>
        </w:rPr>
        <w:t>阴性与</w:t>
      </w:r>
      <w:r>
        <w:rPr>
          <w:rFonts w:hint="eastAsia"/>
          <w:color w:val="000000"/>
          <w:sz w:val="24"/>
        </w:rPr>
        <w:t>EGFR</w:t>
      </w:r>
      <w:r>
        <w:rPr>
          <w:rFonts w:hint="eastAsia"/>
          <w:color w:val="000000"/>
          <w:sz w:val="24"/>
        </w:rPr>
        <w:t>阳性中位</w:t>
      </w:r>
      <w:r>
        <w:rPr>
          <w:rFonts w:hint="eastAsia"/>
          <w:color w:val="000000"/>
          <w:sz w:val="24"/>
        </w:rPr>
        <w:t>DFS</w:t>
      </w:r>
      <w:r>
        <w:rPr>
          <w:rFonts w:hint="eastAsia"/>
          <w:color w:val="000000"/>
          <w:sz w:val="24"/>
        </w:rPr>
        <w:t>分别为</w:t>
      </w:r>
      <w:r>
        <w:rPr>
          <w:rFonts w:hint="eastAsia"/>
          <w:color w:val="000000"/>
          <w:sz w:val="24"/>
        </w:rPr>
        <w:t>9.34</w:t>
      </w:r>
      <w:r>
        <w:rPr>
          <w:rFonts w:hint="eastAsia"/>
          <w:color w:val="000000"/>
          <w:sz w:val="24"/>
        </w:rPr>
        <w:t>、</w:t>
      </w:r>
      <w:r>
        <w:rPr>
          <w:rFonts w:hint="eastAsia"/>
          <w:color w:val="000000"/>
          <w:sz w:val="24"/>
        </w:rPr>
        <w:t>7.24</w:t>
      </w:r>
      <w:r>
        <w:rPr>
          <w:rFonts w:hint="eastAsia"/>
          <w:color w:val="000000"/>
          <w:sz w:val="24"/>
        </w:rPr>
        <w:t>个月，中位</w:t>
      </w:r>
      <w:r>
        <w:rPr>
          <w:rFonts w:hint="eastAsia"/>
          <w:color w:val="000000"/>
          <w:sz w:val="24"/>
        </w:rPr>
        <w:t>OS</w:t>
      </w:r>
      <w:r>
        <w:rPr>
          <w:rFonts w:hint="eastAsia"/>
          <w:color w:val="000000"/>
          <w:sz w:val="24"/>
        </w:rPr>
        <w:t>分别为</w:t>
      </w:r>
      <w:r>
        <w:rPr>
          <w:rFonts w:hint="eastAsia"/>
          <w:color w:val="000000"/>
          <w:sz w:val="24"/>
        </w:rPr>
        <w:t>12.43</w:t>
      </w:r>
      <w:r>
        <w:rPr>
          <w:rFonts w:hint="eastAsia"/>
          <w:color w:val="000000"/>
          <w:sz w:val="24"/>
        </w:rPr>
        <w:t>、</w:t>
      </w:r>
      <w:r>
        <w:rPr>
          <w:rFonts w:hint="eastAsia"/>
          <w:color w:val="000000"/>
          <w:sz w:val="24"/>
        </w:rPr>
        <w:t>9.38</w:t>
      </w:r>
      <w:r>
        <w:rPr>
          <w:rFonts w:hint="eastAsia"/>
          <w:color w:val="000000"/>
          <w:sz w:val="24"/>
        </w:rPr>
        <w:t>个月；</w:t>
      </w:r>
      <w:r>
        <w:rPr>
          <w:rFonts w:hint="eastAsia"/>
          <w:color w:val="000000"/>
          <w:sz w:val="24"/>
        </w:rPr>
        <w:t>HER-2</w:t>
      </w:r>
      <w:r>
        <w:rPr>
          <w:rFonts w:hint="eastAsia"/>
          <w:color w:val="000000"/>
          <w:sz w:val="24"/>
        </w:rPr>
        <w:t>在胃癌中阴性与阳性组中位</w:t>
      </w:r>
      <w:r>
        <w:rPr>
          <w:rFonts w:hint="eastAsia"/>
          <w:color w:val="000000"/>
          <w:sz w:val="24"/>
        </w:rPr>
        <w:t>DFS</w:t>
      </w:r>
      <w:r>
        <w:rPr>
          <w:rFonts w:hint="eastAsia"/>
          <w:color w:val="000000"/>
          <w:sz w:val="24"/>
        </w:rPr>
        <w:t>分别为</w:t>
      </w:r>
      <w:r>
        <w:rPr>
          <w:rFonts w:hint="eastAsia"/>
          <w:color w:val="000000"/>
          <w:sz w:val="24"/>
        </w:rPr>
        <w:t>9.28</w:t>
      </w:r>
      <w:r>
        <w:rPr>
          <w:rFonts w:hint="eastAsia"/>
          <w:color w:val="000000"/>
          <w:sz w:val="24"/>
        </w:rPr>
        <w:t>、</w:t>
      </w:r>
      <w:r>
        <w:rPr>
          <w:rFonts w:hint="eastAsia"/>
          <w:color w:val="000000"/>
          <w:sz w:val="24"/>
        </w:rPr>
        <w:t>7.56</w:t>
      </w:r>
      <w:r>
        <w:rPr>
          <w:rFonts w:hint="eastAsia"/>
          <w:color w:val="000000"/>
          <w:sz w:val="24"/>
        </w:rPr>
        <w:t>个月，中位</w:t>
      </w:r>
      <w:r>
        <w:rPr>
          <w:rFonts w:hint="eastAsia"/>
          <w:color w:val="000000"/>
          <w:sz w:val="24"/>
        </w:rPr>
        <w:t>OS</w:t>
      </w:r>
      <w:r>
        <w:rPr>
          <w:rFonts w:hint="eastAsia"/>
          <w:color w:val="000000"/>
          <w:sz w:val="24"/>
        </w:rPr>
        <w:t>分别为</w:t>
      </w:r>
      <w:r>
        <w:rPr>
          <w:rFonts w:hint="eastAsia"/>
          <w:color w:val="000000"/>
          <w:sz w:val="24"/>
        </w:rPr>
        <w:t>12.69</w:t>
      </w:r>
      <w:r>
        <w:rPr>
          <w:rFonts w:hint="eastAsia"/>
          <w:color w:val="000000"/>
          <w:sz w:val="24"/>
        </w:rPr>
        <w:t>、</w:t>
      </w:r>
      <w:r>
        <w:rPr>
          <w:rFonts w:hint="eastAsia"/>
          <w:color w:val="000000"/>
          <w:sz w:val="24"/>
        </w:rPr>
        <w:t>9.78</w:t>
      </w:r>
      <w:r>
        <w:rPr>
          <w:rFonts w:hint="eastAsia"/>
          <w:color w:val="000000"/>
          <w:sz w:val="24"/>
        </w:rPr>
        <w:t>个月；</w:t>
      </w:r>
      <w:r>
        <w:rPr>
          <w:rFonts w:hint="eastAsia"/>
          <w:color w:val="000000"/>
          <w:sz w:val="24"/>
        </w:rPr>
        <w:t>HER-3</w:t>
      </w:r>
      <w:r>
        <w:rPr>
          <w:rFonts w:hint="eastAsia"/>
          <w:color w:val="000000"/>
          <w:sz w:val="24"/>
        </w:rPr>
        <w:t>在胃癌中阴性组与阳性组中位</w:t>
      </w:r>
      <w:r>
        <w:rPr>
          <w:rFonts w:hint="eastAsia"/>
          <w:color w:val="000000"/>
          <w:sz w:val="24"/>
        </w:rPr>
        <w:t>DFS</w:t>
      </w:r>
      <w:r>
        <w:rPr>
          <w:rFonts w:hint="eastAsia"/>
          <w:color w:val="000000"/>
          <w:sz w:val="24"/>
        </w:rPr>
        <w:t>分别为</w:t>
      </w:r>
      <w:r>
        <w:rPr>
          <w:rFonts w:hint="eastAsia"/>
          <w:color w:val="000000"/>
          <w:sz w:val="24"/>
        </w:rPr>
        <w:t>10.21</w:t>
      </w:r>
      <w:r>
        <w:rPr>
          <w:rFonts w:hint="eastAsia"/>
          <w:color w:val="000000"/>
          <w:sz w:val="24"/>
        </w:rPr>
        <w:t>、</w:t>
      </w:r>
      <w:r>
        <w:rPr>
          <w:rFonts w:hint="eastAsia"/>
          <w:color w:val="000000"/>
          <w:sz w:val="24"/>
        </w:rPr>
        <w:t>7.52</w:t>
      </w:r>
      <w:r>
        <w:rPr>
          <w:rFonts w:hint="eastAsia"/>
          <w:color w:val="000000"/>
          <w:sz w:val="24"/>
        </w:rPr>
        <w:t>个月，中位</w:t>
      </w:r>
      <w:r>
        <w:rPr>
          <w:rFonts w:hint="eastAsia"/>
          <w:color w:val="000000"/>
          <w:sz w:val="24"/>
        </w:rPr>
        <w:t>OS</w:t>
      </w:r>
      <w:r>
        <w:rPr>
          <w:rFonts w:hint="eastAsia"/>
          <w:color w:val="000000"/>
          <w:sz w:val="24"/>
        </w:rPr>
        <w:t>分别为</w:t>
      </w:r>
      <w:r>
        <w:rPr>
          <w:rFonts w:hint="eastAsia"/>
          <w:color w:val="000000"/>
          <w:sz w:val="24"/>
        </w:rPr>
        <w:t>13.52</w:t>
      </w:r>
      <w:r>
        <w:rPr>
          <w:rFonts w:hint="eastAsia"/>
          <w:color w:val="000000"/>
          <w:sz w:val="24"/>
        </w:rPr>
        <w:t>、</w:t>
      </w:r>
      <w:r>
        <w:rPr>
          <w:rFonts w:hint="eastAsia"/>
          <w:color w:val="000000"/>
          <w:sz w:val="24"/>
        </w:rPr>
        <w:t>10.26</w:t>
      </w:r>
      <w:r>
        <w:rPr>
          <w:rFonts w:hint="eastAsia"/>
          <w:color w:val="000000"/>
          <w:sz w:val="24"/>
        </w:rPr>
        <w:t>个月；</w:t>
      </w:r>
      <w:r>
        <w:rPr>
          <w:rFonts w:hint="eastAsia"/>
          <w:color w:val="000000"/>
          <w:sz w:val="24"/>
        </w:rPr>
        <w:t>HER-4</w:t>
      </w:r>
      <w:r>
        <w:rPr>
          <w:rFonts w:hint="eastAsia"/>
          <w:color w:val="000000"/>
          <w:sz w:val="24"/>
        </w:rPr>
        <w:t>在胃癌中阴性与阳性组中位</w:t>
      </w:r>
      <w:r>
        <w:rPr>
          <w:rFonts w:hint="eastAsia"/>
          <w:color w:val="000000"/>
          <w:sz w:val="24"/>
        </w:rPr>
        <w:t>DFS</w:t>
      </w:r>
      <w:r>
        <w:rPr>
          <w:rFonts w:hint="eastAsia"/>
          <w:color w:val="000000"/>
          <w:sz w:val="24"/>
        </w:rPr>
        <w:t>分别为</w:t>
      </w:r>
      <w:r>
        <w:rPr>
          <w:rFonts w:hint="eastAsia"/>
          <w:color w:val="000000"/>
          <w:sz w:val="24"/>
        </w:rPr>
        <w:t>10.58</w:t>
      </w:r>
      <w:r>
        <w:rPr>
          <w:rFonts w:hint="eastAsia"/>
          <w:color w:val="000000"/>
          <w:sz w:val="24"/>
        </w:rPr>
        <w:t>、</w:t>
      </w:r>
      <w:r>
        <w:rPr>
          <w:rFonts w:hint="eastAsia"/>
          <w:color w:val="000000"/>
          <w:sz w:val="24"/>
        </w:rPr>
        <w:t>8.22</w:t>
      </w:r>
      <w:r>
        <w:rPr>
          <w:rFonts w:hint="eastAsia"/>
          <w:color w:val="000000"/>
          <w:sz w:val="24"/>
        </w:rPr>
        <w:t>个月，中位</w:t>
      </w:r>
      <w:r>
        <w:rPr>
          <w:rFonts w:hint="eastAsia"/>
          <w:color w:val="000000"/>
          <w:sz w:val="24"/>
        </w:rPr>
        <w:t>OS</w:t>
      </w:r>
      <w:r>
        <w:rPr>
          <w:rFonts w:hint="eastAsia"/>
          <w:color w:val="000000"/>
          <w:sz w:val="24"/>
        </w:rPr>
        <w:t>分别为</w:t>
      </w:r>
      <w:r>
        <w:rPr>
          <w:rFonts w:hint="eastAsia"/>
          <w:color w:val="000000"/>
          <w:sz w:val="24"/>
        </w:rPr>
        <w:t>14.27</w:t>
      </w:r>
      <w:r>
        <w:rPr>
          <w:rFonts w:hint="eastAsia"/>
          <w:color w:val="000000"/>
          <w:sz w:val="24"/>
        </w:rPr>
        <w:t>、</w:t>
      </w:r>
      <w:r>
        <w:rPr>
          <w:rFonts w:hint="eastAsia"/>
          <w:color w:val="000000"/>
          <w:sz w:val="24"/>
        </w:rPr>
        <w:t>11.09</w:t>
      </w:r>
      <w:r>
        <w:rPr>
          <w:rFonts w:hint="eastAsia"/>
          <w:color w:val="000000"/>
          <w:sz w:val="24"/>
        </w:rPr>
        <w:t>个月。</w:t>
      </w:r>
    </w:p>
    <w:p w:rsidR="00340F18" w:rsidRPr="00F16366" w:rsidRDefault="00340F18" w:rsidP="00340F18">
      <w:pPr>
        <w:pStyle w:val="a3"/>
        <w:ind w:firstLineChars="0" w:firstLine="0"/>
        <w:jc w:val="left"/>
        <w:rPr>
          <w:rFonts w:ascii="黑体" w:hAnsi="黑体" w:cs="Times New Roman"/>
          <w:b w:val="0"/>
          <w:color w:val="000000"/>
          <w:sz w:val="28"/>
          <w:szCs w:val="28"/>
        </w:rPr>
      </w:pPr>
      <w:r w:rsidRPr="00F16366">
        <w:rPr>
          <w:rFonts w:ascii="黑体" w:hAnsi="黑体" w:cs="Times New Roman"/>
          <w:b w:val="0"/>
          <w:color w:val="000000"/>
          <w:sz w:val="28"/>
          <w:szCs w:val="28"/>
        </w:rPr>
        <w:t>结论</w:t>
      </w:r>
    </w:p>
    <w:p w:rsidR="00340F18" w:rsidRDefault="00340F18" w:rsidP="00340F18">
      <w:pPr>
        <w:spacing w:line="360" w:lineRule="auto"/>
        <w:ind w:firstLineChars="200" w:firstLine="480"/>
        <w:rPr>
          <w:rFonts w:hint="eastAsia"/>
          <w:color w:val="000000"/>
          <w:sz w:val="24"/>
        </w:rPr>
      </w:pPr>
      <w:r>
        <w:rPr>
          <w:rFonts w:hint="eastAsia"/>
          <w:color w:val="000000"/>
          <w:sz w:val="24"/>
        </w:rPr>
        <w:t>HER</w:t>
      </w:r>
      <w:r>
        <w:rPr>
          <w:rFonts w:hint="eastAsia"/>
          <w:color w:val="000000"/>
          <w:sz w:val="24"/>
        </w:rPr>
        <w:t>家族在胃癌组织中存在不同程度的阳性表达，其阳性表达均是不良预后的主要因素。尽管</w:t>
      </w:r>
      <w:r>
        <w:rPr>
          <w:rFonts w:hint="eastAsia"/>
          <w:color w:val="000000"/>
          <w:sz w:val="24"/>
        </w:rPr>
        <w:t>EGFR</w:t>
      </w:r>
      <w:r>
        <w:rPr>
          <w:rFonts w:hint="eastAsia"/>
          <w:color w:val="000000"/>
          <w:sz w:val="24"/>
        </w:rPr>
        <w:t>和</w:t>
      </w:r>
      <w:r>
        <w:rPr>
          <w:rFonts w:hint="eastAsia"/>
          <w:color w:val="000000"/>
          <w:sz w:val="24"/>
        </w:rPr>
        <w:t>HER-2</w:t>
      </w:r>
      <w:r>
        <w:rPr>
          <w:rFonts w:hint="eastAsia"/>
          <w:color w:val="000000"/>
          <w:sz w:val="24"/>
        </w:rPr>
        <w:t>为靶点的小分子靶向药已经应用于临床并取得一定的疗效，但是由于其阳性表达率较低及价格高昂，使得受益患者非常有限。</w:t>
      </w:r>
      <w:r>
        <w:rPr>
          <w:rFonts w:hint="eastAsia"/>
          <w:color w:val="000000"/>
          <w:sz w:val="24"/>
        </w:rPr>
        <w:t>HER-3</w:t>
      </w:r>
      <w:r>
        <w:rPr>
          <w:rFonts w:hint="eastAsia"/>
          <w:color w:val="000000"/>
          <w:sz w:val="24"/>
        </w:rPr>
        <w:t>在胃癌中过度表达，促进癌细胞的侵袭，与远处转移密切相关，可作为评估胃癌预后的潜在生物标志物，是未来靶向药物的重要靶点。联合检测</w:t>
      </w:r>
      <w:r>
        <w:rPr>
          <w:rFonts w:hint="eastAsia"/>
          <w:color w:val="000000"/>
          <w:sz w:val="24"/>
        </w:rPr>
        <w:t>HER</w:t>
      </w:r>
      <w:r>
        <w:rPr>
          <w:rFonts w:hint="eastAsia"/>
          <w:color w:val="000000"/>
          <w:sz w:val="24"/>
        </w:rPr>
        <w:t>家族因子可</w:t>
      </w:r>
      <w:r>
        <w:rPr>
          <w:sz w:val="24"/>
        </w:rPr>
        <w:t>预测胃癌结果，而且通过其生物学特性可为</w:t>
      </w:r>
      <w:r>
        <w:rPr>
          <w:rFonts w:hint="eastAsia"/>
          <w:sz w:val="24"/>
        </w:rPr>
        <w:t>靶向研究</w:t>
      </w:r>
      <w:r>
        <w:rPr>
          <w:sz w:val="24"/>
        </w:rPr>
        <w:t>提供一定的</w:t>
      </w:r>
      <w:r>
        <w:rPr>
          <w:rFonts w:hint="eastAsia"/>
          <w:sz w:val="24"/>
        </w:rPr>
        <w:t>理论</w:t>
      </w:r>
      <w:r>
        <w:rPr>
          <w:sz w:val="24"/>
        </w:rPr>
        <w:t>依据。</w:t>
      </w:r>
    </w:p>
    <w:p w:rsidR="00340F18" w:rsidRDefault="00340F18" w:rsidP="00340F18">
      <w:pPr>
        <w:rPr>
          <w:color w:val="000000"/>
          <w:sz w:val="28"/>
          <w:szCs w:val="28"/>
        </w:rPr>
      </w:pPr>
      <w:r w:rsidRPr="00F16366">
        <w:rPr>
          <w:rFonts w:ascii="黑体" w:eastAsia="黑体" w:hAnsi="黑体" w:hint="eastAsia"/>
          <w:color w:val="000000"/>
          <w:sz w:val="28"/>
          <w:szCs w:val="28"/>
        </w:rPr>
        <w:t xml:space="preserve">关键词 </w:t>
      </w:r>
      <w:r>
        <w:rPr>
          <w:color w:val="000000"/>
          <w:sz w:val="24"/>
        </w:rPr>
        <w:t>胃癌；人表皮生长因子受体；</w:t>
      </w:r>
      <w:r>
        <w:rPr>
          <w:rFonts w:hAnsi="Arial"/>
          <w:color w:val="000000"/>
          <w:sz w:val="24"/>
        </w:rPr>
        <w:t>血管内皮生长因子</w:t>
      </w:r>
      <w:r>
        <w:rPr>
          <w:rFonts w:hAnsi="Arial" w:hint="eastAsia"/>
          <w:color w:val="000000"/>
          <w:sz w:val="24"/>
        </w:rPr>
        <w:t>；</w:t>
      </w:r>
    </w:p>
    <w:p w:rsidR="00A9728A" w:rsidRPr="00340F18" w:rsidRDefault="00A9728A"/>
    <w:sectPr w:rsidR="00A9728A" w:rsidRPr="00340F1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40F18"/>
    <w:rsid w:val="00340F18"/>
    <w:rsid w:val="00A972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F18"/>
    <w:pPr>
      <w:widowControl w:val="0"/>
      <w:jc w:val="both"/>
    </w:pPr>
    <w:rPr>
      <w:rFonts w:ascii="Times New Roman" w:eastAsia="宋体" w:hAnsi="Times New Roman" w:cs="Times New Roman"/>
      <w:szCs w:val="24"/>
    </w:rPr>
  </w:style>
  <w:style w:type="paragraph" w:styleId="1">
    <w:name w:val="heading 1"/>
    <w:basedOn w:val="a"/>
    <w:next w:val="a"/>
    <w:link w:val="1Char"/>
    <w:qFormat/>
    <w:rsid w:val="00340F18"/>
    <w:pPr>
      <w:widowControl/>
      <w:spacing w:before="240" w:after="120"/>
      <w:jc w:val="left"/>
      <w:outlineLvl w:val="0"/>
    </w:pPr>
    <w:rPr>
      <w:rFonts w:ascii="宋体" w:eastAsia="黑体" w:hAnsi="宋体" w:cs="宋体"/>
      <w:bCs/>
      <w:color w:val="000000"/>
      <w:kern w:val="36"/>
      <w:sz w:val="30"/>
      <w:szCs w:val="33"/>
    </w:rPr>
  </w:style>
  <w:style w:type="paragraph" w:styleId="2">
    <w:name w:val="heading 2"/>
    <w:basedOn w:val="a"/>
    <w:link w:val="1Char"/>
    <w:uiPriority w:val="9"/>
    <w:semiHidden/>
    <w:unhideWhenUsed/>
    <w:qFormat/>
    <w:rsid w:val="00340F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40F18"/>
    <w:rPr>
      <w:rFonts w:ascii="宋体" w:eastAsia="黑体" w:hAnsi="宋体" w:cs="宋体"/>
      <w:bCs/>
      <w:color w:val="000000"/>
      <w:kern w:val="36"/>
      <w:sz w:val="30"/>
      <w:szCs w:val="33"/>
    </w:rPr>
  </w:style>
  <w:style w:type="paragraph" w:customStyle="1" w:styleId="a3">
    <w:name w:val="分标题"/>
    <w:basedOn w:val="a"/>
    <w:rsid w:val="00340F18"/>
    <w:pPr>
      <w:spacing w:line="360" w:lineRule="auto"/>
      <w:ind w:firstLineChars="200" w:firstLine="480"/>
      <w:jc w:val="center"/>
    </w:pPr>
    <w:rPr>
      <w:rFonts w:ascii="宋体" w:eastAsia="黑体" w:hAnsi="宋体" w:cs="宋体"/>
      <w:b/>
      <w:sz w:val="32"/>
      <w:szCs w:val="20"/>
    </w:rPr>
  </w:style>
  <w:style w:type="character" w:customStyle="1" w:styleId="2Char">
    <w:name w:val="标题 2 Char"/>
    <w:basedOn w:val="a0"/>
    <w:link w:val="2"/>
    <w:uiPriority w:val="9"/>
    <w:semiHidden/>
    <w:rsid w:val="00340F18"/>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197</Words>
  <Characters>1124</Characters>
  <Application>Microsoft Office Word</Application>
  <DocSecurity>0</DocSecurity>
  <Lines>9</Lines>
  <Paragraphs>2</Paragraphs>
  <ScaleCrop>false</ScaleCrop>
  <Company>CHINA</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2016-05-11T03:14:00Z</dcterms:created>
  <dcterms:modified xsi:type="dcterms:W3CDTF">2016-05-11T03:15:00Z</dcterms:modified>
</cp:coreProperties>
</file>