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非小细胞肺癌化疗后骨髓抑制危险因素分析及预测性模型</w:t>
      </w:r>
    </w:p>
    <w:p>
      <w:pPr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的建立</w:t>
      </w:r>
    </w:p>
    <w:p>
      <w:pPr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生：雷彬花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指导教师：郑国宝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摘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要</w:t>
      </w:r>
    </w:p>
    <w:p>
      <w:pPr>
        <w:spacing w:line="360" w:lineRule="auto"/>
        <w:jc w:val="left"/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  </w:t>
      </w:r>
    </w:p>
    <w:p>
      <w:pPr>
        <w:pStyle w:val="4"/>
        <w:widowControl/>
        <w:shd w:val="clear" w:color="auto" w:fill="FFFFFF"/>
        <w:spacing w:line="360" w:lineRule="auto"/>
        <w:rPr>
          <w:rFonts w:hint="eastAsia" w:ascii="黑体" w:hAnsi="黑体" w:eastAsia="黑体" w:cs="黑体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  </w:t>
      </w:r>
      <w:r>
        <w:rPr>
          <w:rFonts w:hint="eastAsia" w:ascii="黑体" w:hAnsi="黑体" w:eastAsia="黑体" w:cs="黑体"/>
          <w:b/>
          <w:bCs/>
          <w:szCs w:val="24"/>
        </w:rPr>
        <w:t>目的</w:t>
      </w:r>
      <w:r>
        <w:rPr>
          <w:rFonts w:hint="eastAsia" w:ascii="黑体" w:hAnsi="黑体" w:eastAsia="黑体" w:cs="黑体"/>
          <w:b/>
          <w:bCs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4"/>
        <w:widowControl/>
        <w:shd w:val="clear" w:color="auto" w:fill="FFFFFF"/>
        <w:spacing w:line="360" w:lineRule="auto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color w:val="000000"/>
          <w:sz w:val="30"/>
          <w:szCs w:val="30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探讨非小细胞肺癌化疗后骨髓抑制的相关危险因素，建立一种模型用于预测性地判断化疗后发生骨髓抑制的危险性。</w:t>
      </w:r>
    </w:p>
    <w:p>
      <w:pPr>
        <w:pStyle w:val="4"/>
        <w:widowControl/>
        <w:shd w:val="clear" w:color="auto" w:fill="FFFFFF"/>
        <w:spacing w:line="360" w:lineRule="auto"/>
        <w:rPr>
          <w:rFonts w:hint="eastAsia" w:ascii="黑体" w:hAnsi="黑体" w:eastAsia="黑体" w:cs="黑体"/>
          <w:b/>
          <w:bCs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  </w:t>
      </w:r>
      <w:r>
        <w:rPr>
          <w:rFonts w:hint="eastAsia" w:ascii="黑体" w:hAnsi="黑体" w:eastAsia="黑体" w:cs="黑体"/>
          <w:b/>
          <w:bCs/>
          <w:szCs w:val="24"/>
        </w:rPr>
        <w:t>方法</w:t>
      </w:r>
    </w:p>
    <w:p>
      <w:pPr>
        <w:pStyle w:val="4"/>
        <w:widowControl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  </w:t>
      </w:r>
      <w:r>
        <w:rPr>
          <w:rFonts w:hint="default" w:ascii="Times New Roman" w:hAnsi="Times New Roman" w:cs="Times New Roman"/>
          <w:szCs w:val="24"/>
        </w:rPr>
        <w:t>根据WHO骨髓抑制分级标准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对80例非小细胞肺癌患者进行分组，</w:t>
      </w:r>
      <w:r>
        <w:rPr>
          <w:rFonts w:hint="default" w:ascii="Times New Roman" w:hAnsi="Times New Roman" w:cs="Times New Roman"/>
          <w:szCs w:val="24"/>
        </w:rPr>
        <w:t>将骨髓抑制达Ⅱ</w:t>
      </w:r>
      <w:r>
        <w:rPr>
          <w:rFonts w:hint="default" w:ascii="Times New Roman" w:hAnsi="Times New Roman" w:cs="Times New Roman"/>
          <w:szCs w:val="24"/>
          <w:lang w:eastAsia="zh-CN"/>
        </w:rPr>
        <w:t>度</w:t>
      </w:r>
      <w:r>
        <w:rPr>
          <w:rFonts w:hint="default" w:ascii="Times New Roman" w:hAnsi="Times New Roman" w:cs="Times New Roman"/>
          <w:szCs w:val="24"/>
        </w:rPr>
        <w:t>及以上的患者定为试验组,无骨髓抑制或骨髓抑制仅达Ⅰ</w:t>
      </w:r>
      <w:r>
        <w:rPr>
          <w:rFonts w:hint="default" w:ascii="Times New Roman" w:hAnsi="Times New Roman" w:cs="Times New Roman"/>
          <w:szCs w:val="24"/>
          <w:lang w:eastAsia="zh-CN"/>
        </w:rPr>
        <w:t>度</w:t>
      </w:r>
      <w:r>
        <w:rPr>
          <w:rFonts w:hint="default" w:ascii="Times New Roman" w:hAnsi="Times New Roman" w:cs="Times New Roman"/>
          <w:szCs w:val="24"/>
        </w:rPr>
        <w:t>的患者定为对照组。</w:t>
      </w:r>
      <w:r>
        <w:rPr>
          <w:rFonts w:hint="default" w:ascii="Times New Roman" w:hAnsi="Times New Roman" w:cs="Times New Roman"/>
          <w:szCs w:val="24"/>
          <w:lang w:eastAsia="zh-CN"/>
        </w:rPr>
        <w:t>其中试验组患者</w:t>
      </w:r>
      <w:r>
        <w:rPr>
          <w:rFonts w:hint="default" w:ascii="Times New Roman" w:hAnsi="Times New Roman" w:cs="Times New Roman"/>
          <w:szCs w:val="24"/>
          <w:lang w:val="en-US" w:eastAsia="zh-CN"/>
        </w:rPr>
        <w:t>30例，对照组患者50例。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统计各组可能与骨髓抑制相关的危险因素并进行卡方检验，将有意义的危险因素（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</w:rPr>
        <w:t>P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  <w:lang w:eastAsia="zh-CN"/>
        </w:rPr>
        <w:t>&lt;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0.05）进行非条件Logistic多因素回归分析，根据回归方程建立预测性模型。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  <w:lang w:eastAsia="zh-CN"/>
        </w:rPr>
        <w:t>根据以上分组标准另外选取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  <w:lang w:val="en-US" w:eastAsia="zh-CN"/>
        </w:rPr>
        <w:t>50例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非小细胞肺癌患者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  <w:lang w:eastAsia="zh-CN"/>
        </w:rPr>
        <w:t>对预测模型进行评价，其中</w:t>
      </w:r>
      <w:r>
        <w:rPr>
          <w:rFonts w:hint="default" w:ascii="Times New Roman" w:hAnsi="Times New Roman" w:cs="Times New Roman"/>
          <w:szCs w:val="24"/>
        </w:rPr>
        <w:t>骨髓抑制达Ⅱ</w:t>
      </w:r>
      <w:r>
        <w:rPr>
          <w:rFonts w:hint="default" w:ascii="Times New Roman" w:hAnsi="Times New Roman" w:cs="Times New Roman"/>
          <w:szCs w:val="24"/>
          <w:lang w:eastAsia="zh-CN"/>
        </w:rPr>
        <w:t>度</w:t>
      </w:r>
      <w:r>
        <w:rPr>
          <w:rFonts w:hint="default" w:ascii="Times New Roman" w:hAnsi="Times New Roman" w:cs="Times New Roman"/>
          <w:szCs w:val="24"/>
        </w:rPr>
        <w:t>及以上的患者</w:t>
      </w:r>
      <w:r>
        <w:rPr>
          <w:rFonts w:hint="default" w:ascii="Times New Roman" w:hAnsi="Times New Roman" w:cs="Times New Roman"/>
          <w:szCs w:val="24"/>
          <w:lang w:val="en-US" w:eastAsia="zh-CN"/>
        </w:rPr>
        <w:t>17例，</w:t>
      </w:r>
      <w:r>
        <w:rPr>
          <w:rFonts w:hint="default" w:ascii="Times New Roman" w:hAnsi="Times New Roman" w:cs="Times New Roman"/>
          <w:szCs w:val="24"/>
        </w:rPr>
        <w:t>无骨髓抑制或骨髓抑制仅达Ⅰ</w:t>
      </w:r>
      <w:r>
        <w:rPr>
          <w:rFonts w:hint="default" w:ascii="Times New Roman" w:hAnsi="Times New Roman" w:cs="Times New Roman"/>
          <w:szCs w:val="24"/>
          <w:lang w:eastAsia="zh-CN"/>
        </w:rPr>
        <w:t>度</w:t>
      </w:r>
      <w:r>
        <w:rPr>
          <w:rFonts w:hint="default" w:ascii="Times New Roman" w:hAnsi="Times New Roman" w:cs="Times New Roman"/>
          <w:szCs w:val="24"/>
        </w:rPr>
        <w:t>的患者</w:t>
      </w:r>
      <w:r>
        <w:rPr>
          <w:rFonts w:hint="default" w:ascii="Times New Roman" w:hAnsi="Times New Roman" w:cs="Times New Roman"/>
          <w:szCs w:val="24"/>
          <w:lang w:val="en-US" w:eastAsia="zh-CN"/>
        </w:rPr>
        <w:t>33例。使用Kappa检验检测预测模型与实际检验结果的一致性。</w:t>
      </w:r>
    </w:p>
    <w:p>
      <w:pPr>
        <w:pStyle w:val="4"/>
        <w:widowControl/>
        <w:shd w:val="clear" w:color="auto" w:fill="FFFFFF"/>
        <w:spacing w:line="360" w:lineRule="auto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  </w:t>
      </w:r>
      <w:r>
        <w:rPr>
          <w:rFonts w:hint="eastAsia" w:ascii="黑体" w:hAnsi="黑体" w:eastAsia="黑体" w:cs="黑体"/>
          <w:b/>
          <w:bCs/>
          <w:szCs w:val="24"/>
        </w:rPr>
        <w:t>结果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 </w:t>
      </w:r>
    </w:p>
    <w:p>
      <w:pPr>
        <w:pStyle w:val="4"/>
        <w:widowControl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4"/>
          <w:shd w:val="clear" w:color="auto" w:fill="FFFFFF"/>
        </w:rPr>
        <w:t>对照组化疗前后中性粒细胞比例和淋巴细胞比例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差异无统计学意义（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</w:rPr>
        <w:t>P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&gt;0.05）。试验</w:t>
      </w:r>
      <w:r>
        <w:rPr>
          <w:rFonts w:hint="default" w:ascii="Times New Roman" w:hAnsi="Times New Roman" w:cs="Times New Roman"/>
          <w:szCs w:val="24"/>
          <w:shd w:val="clear" w:color="auto" w:fill="FFFFFF"/>
        </w:rPr>
        <w:t>组化疗前后中性粒细胞比例和淋巴细胞比例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差异有统计学意义（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</w:rPr>
        <w:t>P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  <w:lang w:eastAsia="zh-CN"/>
        </w:rPr>
        <w:t>&lt;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0.05）。经卡方检验后，与化疗后骨髓抑制可能相关的危险因素有：年龄（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</w:rPr>
        <w:t>P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=0.037）、BMI（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</w:rPr>
        <w:t>P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=0.037）、肿瘤分期（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</w:rPr>
        <w:t>P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=0.036）、骨髓或骨转移（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</w:rPr>
        <w:t>P=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0.021）、化疗前白细胞降低（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</w:rPr>
        <w:t>P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=0.001）、曾接受放疗次数（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</w:rPr>
        <w:t>P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=0.05）、曾接受化疗次数（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</w:rPr>
        <w:t>P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=0.023）、21天内做过放疗（</w:t>
      </w:r>
      <w:r>
        <w:rPr>
          <w:rFonts w:hint="default" w:ascii="Times New Roman" w:hAnsi="Times New Roman" w:cs="Times New Roman"/>
          <w:i/>
          <w:iCs/>
          <w:color w:val="000000"/>
          <w:szCs w:val="24"/>
          <w:shd w:val="clear" w:color="auto" w:fill="FFFFFF"/>
        </w:rPr>
        <w:t>P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=0.001）。将以上因素进行非条件Logistic多因素回归分析，与化疗后骨髓抑制相关的主要因素有：年龄&gt;60岁（</w:t>
      </w:r>
      <w:r>
        <w:rPr>
          <w:rFonts w:hint="default" w:ascii="Times New Roman" w:hAnsi="Times New Roman" w:cs="Times New Roman"/>
          <w:i/>
          <w:iCs/>
          <w:szCs w:val="24"/>
        </w:rPr>
        <w:t>β=</w:t>
      </w:r>
      <w:r>
        <w:rPr>
          <w:rFonts w:hint="default" w:ascii="Times New Roman" w:hAnsi="Times New Roman" w:cs="Times New Roman"/>
          <w:szCs w:val="24"/>
        </w:rPr>
        <w:t>1.811，</w:t>
      </w:r>
      <w:r>
        <w:rPr>
          <w:rFonts w:hint="default" w:ascii="Times New Roman" w:hAnsi="Times New Roman" w:cs="Times New Roman"/>
          <w:i/>
          <w:iCs/>
          <w:szCs w:val="24"/>
        </w:rPr>
        <w:t>OR</w:t>
      </w:r>
      <w:r>
        <w:rPr>
          <w:rFonts w:hint="default" w:ascii="Times New Roman" w:hAnsi="Times New Roman" w:cs="Times New Roman"/>
          <w:szCs w:val="24"/>
        </w:rPr>
        <w:t>=6.117，</w:t>
      </w:r>
      <w:r>
        <w:rPr>
          <w:rFonts w:hint="default" w:ascii="Times New Roman" w:hAnsi="Times New Roman" w:cs="Times New Roman"/>
          <w:i/>
          <w:iCs/>
          <w:szCs w:val="24"/>
        </w:rPr>
        <w:t>P</w:t>
      </w:r>
      <w:r>
        <w:rPr>
          <w:rFonts w:hint="default" w:ascii="Times New Roman" w:hAnsi="Times New Roman" w:cs="Times New Roman"/>
          <w:szCs w:val="24"/>
        </w:rPr>
        <w:t>&lt;0.05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）,骨髓或骨转移（</w:t>
      </w:r>
      <w:r>
        <w:rPr>
          <w:rFonts w:hint="default" w:ascii="Times New Roman" w:hAnsi="Times New Roman" w:cs="Times New Roman"/>
          <w:i/>
          <w:iCs/>
          <w:szCs w:val="24"/>
        </w:rPr>
        <w:t>β=</w:t>
      </w:r>
      <w:r>
        <w:rPr>
          <w:rFonts w:hint="default" w:ascii="Times New Roman" w:hAnsi="Times New Roman" w:cs="Times New Roman"/>
          <w:szCs w:val="24"/>
        </w:rPr>
        <w:t>1.963，</w:t>
      </w:r>
      <w:r>
        <w:rPr>
          <w:rFonts w:hint="default" w:ascii="Times New Roman" w:hAnsi="Times New Roman" w:cs="Times New Roman"/>
          <w:i/>
          <w:iCs/>
          <w:szCs w:val="24"/>
        </w:rPr>
        <w:t>OR</w:t>
      </w:r>
      <w:r>
        <w:rPr>
          <w:rFonts w:hint="default" w:ascii="Times New Roman" w:hAnsi="Times New Roman" w:cs="Times New Roman"/>
          <w:szCs w:val="24"/>
        </w:rPr>
        <w:t>=7.118，</w:t>
      </w:r>
      <w:r>
        <w:rPr>
          <w:rFonts w:hint="default" w:ascii="Times New Roman" w:hAnsi="Times New Roman" w:cs="Times New Roman"/>
          <w:i/>
          <w:iCs/>
          <w:szCs w:val="24"/>
        </w:rPr>
        <w:t>P</w:t>
      </w:r>
      <w:r>
        <w:rPr>
          <w:rFonts w:hint="default" w:ascii="Times New Roman" w:hAnsi="Times New Roman" w:cs="Times New Roman"/>
          <w:szCs w:val="24"/>
        </w:rPr>
        <w:t>&lt;0.05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），化疗前白细胞降低（</w:t>
      </w:r>
      <w:r>
        <w:rPr>
          <w:rFonts w:hint="default" w:ascii="Times New Roman" w:hAnsi="Times New Roman" w:cs="Times New Roman"/>
          <w:i/>
          <w:iCs/>
          <w:szCs w:val="24"/>
        </w:rPr>
        <w:t>β=</w:t>
      </w:r>
      <w:r>
        <w:rPr>
          <w:rFonts w:hint="default" w:ascii="Times New Roman" w:hAnsi="Times New Roman" w:cs="Times New Roman"/>
          <w:szCs w:val="24"/>
        </w:rPr>
        <w:t>3.368，</w:t>
      </w:r>
      <w:r>
        <w:rPr>
          <w:rFonts w:hint="default" w:ascii="Times New Roman" w:hAnsi="Times New Roman" w:cs="Times New Roman"/>
          <w:i/>
          <w:iCs/>
          <w:szCs w:val="24"/>
        </w:rPr>
        <w:t>OR</w:t>
      </w:r>
      <w:r>
        <w:rPr>
          <w:rFonts w:hint="default" w:ascii="Times New Roman" w:hAnsi="Times New Roman" w:cs="Times New Roman"/>
          <w:szCs w:val="24"/>
        </w:rPr>
        <w:t>=29.019，</w:t>
      </w:r>
      <w:r>
        <w:rPr>
          <w:rFonts w:hint="default" w:ascii="Times New Roman" w:hAnsi="Times New Roman" w:cs="Times New Roman"/>
          <w:i/>
          <w:iCs/>
          <w:szCs w:val="24"/>
        </w:rPr>
        <w:t>P</w:t>
      </w:r>
      <w:r>
        <w:rPr>
          <w:rFonts w:hint="default" w:ascii="Times New Roman" w:hAnsi="Times New Roman" w:cs="Times New Roman"/>
          <w:szCs w:val="24"/>
        </w:rPr>
        <w:t>&lt;0.01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）,21天内做过放疗（</w:t>
      </w:r>
      <w:r>
        <w:rPr>
          <w:rFonts w:hint="default" w:ascii="Times New Roman" w:hAnsi="Times New Roman" w:cs="Times New Roman"/>
          <w:i/>
          <w:iCs/>
          <w:szCs w:val="24"/>
        </w:rPr>
        <w:t>β=</w:t>
      </w:r>
      <w:r>
        <w:rPr>
          <w:rFonts w:hint="default" w:ascii="Times New Roman" w:hAnsi="Times New Roman" w:cs="Times New Roman"/>
          <w:szCs w:val="24"/>
        </w:rPr>
        <w:t>2.961，</w:t>
      </w:r>
      <w:r>
        <w:rPr>
          <w:rFonts w:hint="default" w:ascii="Times New Roman" w:hAnsi="Times New Roman" w:cs="Times New Roman"/>
          <w:i/>
          <w:iCs/>
          <w:szCs w:val="24"/>
        </w:rPr>
        <w:t>OR</w:t>
      </w:r>
      <w:r>
        <w:rPr>
          <w:rFonts w:hint="default" w:ascii="Times New Roman" w:hAnsi="Times New Roman" w:cs="Times New Roman"/>
          <w:szCs w:val="24"/>
        </w:rPr>
        <w:t>=19.322，</w:t>
      </w:r>
      <w:r>
        <w:rPr>
          <w:rFonts w:hint="default" w:ascii="Times New Roman" w:hAnsi="Times New Roman" w:cs="Times New Roman"/>
          <w:i/>
          <w:iCs/>
          <w:szCs w:val="24"/>
        </w:rPr>
        <w:t>P</w:t>
      </w:r>
      <w:r>
        <w:rPr>
          <w:rFonts w:hint="default" w:ascii="Times New Roman" w:hAnsi="Times New Roman" w:cs="Times New Roman"/>
          <w:szCs w:val="24"/>
        </w:rPr>
        <w:t>&lt;0.05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）。对参数进行赋值，其中年龄&gt;60岁计为1.8分，有骨髓或骨转移计为2.0分，</w:t>
      </w:r>
      <w:r>
        <w:rPr>
          <w:rFonts w:hint="default" w:ascii="Times New Roman" w:hAnsi="Times New Roman" w:cs="Times New Roman"/>
          <w:szCs w:val="24"/>
          <w:shd w:val="clear" w:color="auto" w:fill="FFFFFF"/>
        </w:rPr>
        <w:t>化疗前白细胞降低（白细胞计数&lt;4.0×10</w:t>
      </w:r>
      <w:r>
        <w:rPr>
          <w:rFonts w:hint="default" w:ascii="Times New Roman" w:hAnsi="Times New Roman" w:cs="Times New Roman"/>
          <w:szCs w:val="24"/>
          <w:shd w:val="clear" w:color="auto" w:fill="FFFFFF"/>
          <w:vertAlign w:val="superscript"/>
        </w:rPr>
        <w:t>9</w:t>
      </w:r>
      <w:r>
        <w:rPr>
          <w:rFonts w:hint="default" w:ascii="Times New Roman" w:hAnsi="Times New Roman" w:cs="Times New Roman"/>
          <w:szCs w:val="24"/>
          <w:shd w:val="clear" w:color="auto" w:fill="FFFFFF"/>
        </w:rPr>
        <w:t>/L）计为3.4分，21天内做过放疗计为3分。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根据参数估计值赋值建立预测性模型。根据以上计分将患者分为低危组和高危组。</w:t>
      </w:r>
      <w:r>
        <w:rPr>
          <w:rFonts w:hint="default" w:ascii="Times New Roman" w:hAnsi="Times New Roman" w:cs="Times New Roman"/>
          <w:szCs w:val="24"/>
          <w:shd w:val="clear" w:color="auto" w:fill="FFFFFF"/>
        </w:rPr>
        <w:t>其中计分≤5.1</w:t>
      </w:r>
      <w:r>
        <w:rPr>
          <w:rFonts w:hint="default" w:ascii="Times New Roman" w:hAnsi="Times New Roman" w:cs="Times New Roman"/>
          <w:szCs w:val="24"/>
        </w:rPr>
        <w:t>分者为低危组，计分&gt;5.1分者为高危组。</w:t>
      </w:r>
      <w:r>
        <w:rPr>
          <w:rFonts w:hint="default" w:ascii="Times New Roman" w:hAnsi="Times New Roman" w:cs="Times New Roman"/>
          <w:szCs w:val="24"/>
          <w:lang w:eastAsia="zh-CN"/>
        </w:rPr>
        <w:t>对预测模型进行评价后，得出</w:t>
      </w:r>
      <w:r>
        <w:rPr>
          <w:rFonts w:hint="default" w:ascii="Times New Roman" w:hAnsi="Times New Roman" w:cs="Times New Roman"/>
          <w:sz w:val="24"/>
          <w:szCs w:val="24"/>
        </w:rPr>
        <w:t>此预测模型特异度为97%，灵敏度为8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8.2</w:t>
      </w:r>
      <w:r>
        <w:rPr>
          <w:rFonts w:hint="default" w:ascii="Times New Roman" w:hAnsi="Times New Roman" w:cs="Times New Roman"/>
          <w:sz w:val="24"/>
          <w:szCs w:val="24"/>
        </w:rPr>
        <w:t>%，阳性预测值为93.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szCs w:val="24"/>
        </w:rPr>
        <w:t>%，阴性预测值为94.1%。经</w:t>
      </w:r>
      <w:r>
        <w:rPr>
          <w:rFonts w:hint="default" w:ascii="Times New Roman" w:hAnsi="Times New Roman" w:cs="Times New Roman"/>
          <w:sz w:val="24"/>
          <w:szCs w:val="24"/>
        </w:rPr>
        <w:t>Kappa检验后显示模型与实际检验结果具有极强的一致性（经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>检验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&lt;0.05，可以排除偶然性导致的两种结果的一致）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pStyle w:val="4"/>
        <w:widowControl/>
        <w:shd w:val="clear" w:color="auto" w:fill="FFFFFF"/>
        <w:spacing w:line="360" w:lineRule="auto"/>
        <w:rPr>
          <w:rFonts w:hint="default" w:ascii="Times New Roman" w:hAnsi="Times New Roman" w:eastAsia="黑体" w:cs="Times New Roman"/>
          <w:b/>
          <w:bCs/>
          <w:szCs w:val="24"/>
        </w:rPr>
      </w:pPr>
      <w:r>
        <w:rPr>
          <w:rFonts w:hint="default" w:ascii="Times New Roman" w:hAnsi="Times New Roman" w:cs="Times New Roman"/>
          <w:szCs w:val="24"/>
        </w:rPr>
        <w:t xml:space="preserve">  </w:t>
      </w:r>
      <w:r>
        <w:rPr>
          <w:rFonts w:hint="default" w:ascii="Times New Roman" w:hAnsi="Times New Roman" w:eastAsia="黑体" w:cs="Times New Roman"/>
          <w:b/>
          <w:bCs/>
          <w:szCs w:val="24"/>
        </w:rPr>
        <w:t xml:space="preserve">结论 </w:t>
      </w:r>
    </w:p>
    <w:p>
      <w:pPr>
        <w:pStyle w:val="4"/>
        <w:widowControl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</w:pPr>
      <w:r>
        <w:rPr>
          <w:rFonts w:hint="default" w:ascii="Times New Roman" w:hAnsi="Times New Roman" w:eastAsia="黑体" w:cs="Times New Roman"/>
          <w:b/>
          <w:bCs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4"/>
        </w:rPr>
        <w:t>年龄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&gt;60岁</w:t>
      </w:r>
      <w:r>
        <w:rPr>
          <w:rFonts w:hint="default" w:ascii="Times New Roman" w:hAnsi="Times New Roman" w:cs="Times New Roman"/>
          <w:szCs w:val="24"/>
        </w:rPr>
        <w:t>、有骨髓或骨转移、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治疗前白细胞降低</w:t>
      </w:r>
      <w:r>
        <w:rPr>
          <w:rFonts w:hint="default" w:ascii="Times New Roman" w:hAnsi="Times New Roman" w:cs="Times New Roman"/>
          <w:szCs w:val="24"/>
          <w:shd w:val="clear" w:color="auto" w:fill="FFFFFF"/>
        </w:rPr>
        <w:t>（白细胞计数&lt;4.0×10</w:t>
      </w:r>
      <w:r>
        <w:rPr>
          <w:rFonts w:hint="default" w:ascii="Times New Roman" w:hAnsi="Times New Roman" w:cs="Times New Roman"/>
          <w:szCs w:val="24"/>
          <w:shd w:val="clear" w:color="auto" w:fill="FFFFFF"/>
          <w:vertAlign w:val="superscript"/>
        </w:rPr>
        <w:t>9</w:t>
      </w:r>
      <w:r>
        <w:rPr>
          <w:rFonts w:hint="default" w:ascii="Times New Roman" w:hAnsi="Times New Roman" w:cs="Times New Roman"/>
          <w:szCs w:val="24"/>
          <w:shd w:val="clear" w:color="auto" w:fill="FFFFFF"/>
        </w:rPr>
        <w:t>/L）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及21天内做过放疗为化疗后产生骨髓抑制的主要危险因素。根据此4种危险因素建立的模型</w:t>
      </w:r>
      <w:r>
        <w:rPr>
          <w:rFonts w:hint="default" w:ascii="Times New Roman" w:hAnsi="Times New Roman" w:cs="Times New Roman"/>
          <w:sz w:val="24"/>
          <w:szCs w:val="24"/>
        </w:rPr>
        <w:t>与实际检验结果具有极强的一致性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>可预测性判断非小细胞肺癌患者发生骨髓抑制危险性的大小，从而指导临床给予预防性的治疗，以提高和改善患者的生活质量，延长生存期。</w:t>
      </w:r>
    </w:p>
    <w:p>
      <w:pPr>
        <w:pStyle w:val="4"/>
        <w:widowControl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 xml:space="preserve">  </w:t>
      </w:r>
      <w:r>
        <w:rPr>
          <w:rFonts w:hint="default" w:ascii="Times New Roman" w:hAnsi="Times New Roman" w:eastAsia="黑体" w:cs="Times New Roman"/>
          <w:b/>
          <w:color w:val="000000"/>
          <w:szCs w:val="24"/>
          <w:shd w:val="clear" w:color="auto" w:fill="FFFFFF"/>
        </w:rPr>
        <w:t>关键词</w:t>
      </w:r>
      <w:r>
        <w:rPr>
          <w:rFonts w:hint="default" w:ascii="Times New Roman" w:hAnsi="Times New Roman" w:cs="Times New Roman"/>
          <w:color w:val="000000"/>
          <w:szCs w:val="24"/>
          <w:shd w:val="clear" w:color="auto" w:fill="FFFFFF"/>
        </w:rPr>
        <w:t xml:space="preserve"> 化疗 骨髓抑制 非小细胞肺癌 危险因素 模型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书宋_GBK+ZCdGiJ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FZSS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837348"/>
    <w:rsid w:val="719D09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2016-05-06T09:48:35Z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