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30"/>
          <w:szCs w:val="30"/>
          <w:lang w:val="ru-RU"/>
        </w:rPr>
      </w:pPr>
      <w:r>
        <w:rPr>
          <w:rFonts w:hint="eastAsia" w:ascii="黑体" w:hAnsi="黑体" w:eastAsia="黑体" w:cs="黑体"/>
          <w:sz w:val="30"/>
          <w:szCs w:val="30"/>
          <w:lang w:val="ru-RU"/>
        </w:rPr>
        <w:t>胱抑素C、纤维蛋白原及24小时尿蛋白定量与紫癜性肾炎患</w:t>
      </w:r>
    </w:p>
    <w:p>
      <w:pPr>
        <w:spacing w:line="360" w:lineRule="auto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  <w:lang w:val="ru-RU"/>
        </w:rPr>
        <w:t>儿肾脏病理分级相关性研究</w:t>
      </w:r>
    </w:p>
    <w:p>
      <w:pPr>
        <w:spacing w:line="360" w:lineRule="auto"/>
        <w:jc w:val="center"/>
        <w:rPr>
          <w:rFonts w:hint="eastAsia" w:ascii="宋体" w:hAnsi="宋体"/>
          <w:bCs/>
          <w:sz w:val="24"/>
        </w:rPr>
      </w:pPr>
    </w:p>
    <w:p>
      <w:pPr>
        <w:spacing w:line="360" w:lineRule="auto"/>
        <w:jc w:val="center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研 究 生:</w:t>
      </w:r>
      <w:r>
        <w:rPr>
          <w:rFonts w:hint="eastAsia" w:ascii="宋体" w:hAnsi="宋体"/>
          <w:bCs/>
          <w:sz w:val="24"/>
          <w:lang w:eastAsia="zh-CN"/>
        </w:rPr>
        <w:t>王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lang w:eastAsia="zh-CN"/>
        </w:rPr>
        <w:t>芳</w:t>
      </w:r>
    </w:p>
    <w:p>
      <w:pPr>
        <w:spacing w:line="360" w:lineRule="auto"/>
        <w:ind w:firstLine="3480" w:firstLineChars="145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指导教师:张迎辉</w:t>
      </w:r>
    </w:p>
    <w:p>
      <w:pPr>
        <w:spacing w:line="360" w:lineRule="auto"/>
        <w:ind w:firstLine="3480" w:firstLineChars="1450"/>
        <w:rPr>
          <w:rFonts w:hint="eastAsia" w:ascii="宋体" w:hAnsi="宋体"/>
          <w:bCs/>
          <w:sz w:val="24"/>
        </w:rPr>
      </w:pPr>
    </w:p>
    <w:p>
      <w:pPr>
        <w:spacing w:line="360" w:lineRule="auto"/>
        <w:jc w:val="center"/>
        <w:rPr>
          <w:rFonts w:hint="eastAsia"/>
          <w:b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摘   要</w:t>
      </w:r>
    </w:p>
    <w:p>
      <w:pPr>
        <w:spacing w:line="360" w:lineRule="auto"/>
        <w:ind w:firstLine="472" w:firstLineChars="196"/>
        <w:rPr>
          <w:rFonts w:hint="eastAsia" w:ascii="黑体" w:hAnsi="黑体" w:eastAsia="黑体" w:cs="黑体"/>
          <w:b/>
          <w:color w:val="000000"/>
          <w:sz w:val="24"/>
        </w:rPr>
      </w:pPr>
      <w:r>
        <w:rPr>
          <w:rFonts w:hint="eastAsia" w:ascii="黑体" w:hAnsi="黑体" w:eastAsia="黑体" w:cs="黑体"/>
          <w:b/>
          <w:sz w:val="24"/>
        </w:rPr>
        <w:t>目的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通过相关性分析比较胱抑素C、纤维蛋白原及24小时尿蛋白定量与紫癜性肾炎患儿肾脏病理分级的相关性，探讨这三者与肾脏病理分级的关系，为紫癜性肾炎患儿的治疗及判断预后提供科学的依据。</w:t>
      </w:r>
    </w:p>
    <w:p>
      <w:pPr>
        <w:autoSpaceDE w:val="0"/>
        <w:autoSpaceDN w:val="0"/>
        <w:spacing w:line="360" w:lineRule="auto"/>
        <w:ind w:firstLine="472" w:firstLineChars="196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b/>
          <w:sz w:val="24"/>
        </w:rPr>
        <w:t>方法</w:t>
      </w:r>
      <w:r>
        <w:rPr>
          <w:rFonts w:hint="eastAsia" w:ascii="宋体" w:hAnsi="宋体"/>
          <w:bCs/>
          <w:sz w:val="24"/>
        </w:rPr>
        <w:t xml:space="preserve"> </w:t>
      </w:r>
    </w:p>
    <w:p>
      <w:pPr>
        <w:spacing w:line="360" w:lineRule="auto"/>
        <w:ind w:firstLine="600" w:firstLineChars="250"/>
        <w:rPr>
          <w:rFonts w:hint="eastAsia" w:ascii="宋体" w:hAnsi="宋体" w:cs="楷体_GB2312"/>
          <w:bCs/>
          <w:color w:val="000000"/>
          <w:sz w:val="24"/>
        </w:rPr>
      </w:pPr>
      <w:r>
        <w:rPr>
          <w:sz w:val="24"/>
        </w:rPr>
        <w:t>收集2011年1月至2015年1月48例经肾活检明确诊断为</w:t>
      </w:r>
      <w:r>
        <w:rPr>
          <w:rFonts w:hint="default" w:ascii="Times New Roman" w:hAnsi="Times New Roman" w:cs="Times New Roman"/>
          <w:sz w:val="24"/>
        </w:rPr>
        <w:t>HSPN</w:t>
      </w:r>
      <w:r>
        <w:rPr>
          <w:sz w:val="24"/>
        </w:rPr>
        <w:t>患儿的病历资料，根据肾脏病理结果分为</w:t>
      </w:r>
      <w:r>
        <w:rPr>
          <w:rFonts w:hAnsi="宋体"/>
          <w:sz w:val="24"/>
        </w:rPr>
        <w:t>Ⅱ</w:t>
      </w:r>
      <w:r>
        <w:rPr>
          <w:sz w:val="24"/>
        </w:rPr>
        <w:t>a级及</w:t>
      </w:r>
      <w:r>
        <w:rPr>
          <w:rFonts w:hAnsi="宋体"/>
          <w:sz w:val="24"/>
        </w:rPr>
        <w:t>Ⅱ</w:t>
      </w:r>
      <w:r>
        <w:rPr>
          <w:sz w:val="24"/>
        </w:rPr>
        <w:t>a级以下12例、</w:t>
      </w:r>
      <w:r>
        <w:rPr>
          <w:rFonts w:hAnsi="宋体"/>
          <w:sz w:val="24"/>
        </w:rPr>
        <w:t>Ⅱ</w:t>
      </w:r>
      <w:r>
        <w:rPr>
          <w:sz w:val="24"/>
        </w:rPr>
        <w:t>b级12例、</w:t>
      </w:r>
      <w:r>
        <w:rPr>
          <w:rFonts w:hAnsi="宋体"/>
          <w:sz w:val="24"/>
        </w:rPr>
        <w:t>Ⅲ</w:t>
      </w:r>
      <w:r>
        <w:rPr>
          <w:sz w:val="24"/>
        </w:rPr>
        <w:t>a级17例及</w:t>
      </w:r>
      <w:r>
        <w:rPr>
          <w:rFonts w:hAnsi="宋体"/>
          <w:sz w:val="24"/>
        </w:rPr>
        <w:t>Ⅲ</w:t>
      </w:r>
      <w:r>
        <w:rPr>
          <w:sz w:val="24"/>
        </w:rPr>
        <w:t>b级及</w:t>
      </w:r>
      <w:r>
        <w:rPr>
          <w:rFonts w:hAnsi="宋体"/>
          <w:sz w:val="24"/>
        </w:rPr>
        <w:t>Ⅲ</w:t>
      </w:r>
      <w:r>
        <w:rPr>
          <w:sz w:val="24"/>
        </w:rPr>
        <w:t>b级以上7例。乳胶增强散射免疫比浊法检测所</w:t>
      </w:r>
      <w:r>
        <w:rPr>
          <w:sz w:val="24"/>
          <w:lang w:val="ru-RU"/>
        </w:rPr>
        <w:t>有患儿</w:t>
      </w:r>
      <w:r>
        <w:rPr>
          <w:sz w:val="24"/>
        </w:rPr>
        <w:t>血清CysC、浊度法检测</w:t>
      </w:r>
      <w:r>
        <w:rPr>
          <w:rFonts w:hint="default" w:ascii="Times New Roman" w:hAnsi="Times New Roman" w:cs="Times New Roman"/>
          <w:sz w:val="24"/>
          <w:lang w:val="ru-RU"/>
        </w:rPr>
        <w:t>Fbg</w:t>
      </w:r>
      <w:r>
        <w:rPr>
          <w:sz w:val="24"/>
          <w:lang w:val="ru-RU"/>
        </w:rPr>
        <w:t>浓度和</w:t>
      </w:r>
      <w:r>
        <w:rPr>
          <w:sz w:val="24"/>
        </w:rPr>
        <w:t>终点法检测24 h尿蛋白定量的水平；采用</w:t>
      </w:r>
      <w:r>
        <w:rPr>
          <w:rFonts w:hint="default" w:ascii="Times New Roman" w:hAnsi="Times New Roman" w:cs="Times New Roman"/>
          <w:sz w:val="24"/>
        </w:rPr>
        <w:t>Pearson</w:t>
      </w:r>
      <w:r>
        <w:rPr>
          <w:sz w:val="24"/>
        </w:rPr>
        <w:t>和</w:t>
      </w:r>
      <w:r>
        <w:rPr>
          <w:rFonts w:hint="eastAsia" w:ascii="黑体" w:hAnsi="黑体" w:eastAsia="黑体" w:cs="黑体"/>
          <w:sz w:val="24"/>
        </w:rPr>
        <w:t>Spearman</w:t>
      </w:r>
      <w:r>
        <w:rPr>
          <w:sz w:val="24"/>
        </w:rPr>
        <w:t>相关分析对各检测指标之间及各</w:t>
      </w:r>
      <w:r>
        <w:rPr>
          <w:sz w:val="24"/>
          <w:lang w:val="ru-RU"/>
        </w:rPr>
        <w:t>指标</w:t>
      </w:r>
      <w:r>
        <w:rPr>
          <w:sz w:val="24"/>
        </w:rPr>
        <w:t>与肾脏病理分级之间进行相关分析。</w:t>
      </w:r>
    </w:p>
    <w:p>
      <w:pPr>
        <w:autoSpaceDE w:val="0"/>
        <w:autoSpaceDN w:val="0"/>
        <w:adjustRightInd w:val="0"/>
        <w:spacing w:line="360" w:lineRule="auto"/>
        <w:ind w:firstLine="354" w:firstLineChars="147"/>
        <w:rPr>
          <w:rFonts w:hint="eastAsia"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</w:rPr>
        <w:t>结果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血清</w:t>
      </w:r>
      <w:r>
        <w:rPr>
          <w:rFonts w:hint="default" w:ascii="Times New Roman" w:hAnsi="Times New Roman" w:cs="Times New Roman"/>
          <w:sz w:val="24"/>
        </w:rPr>
        <w:t>CysC</w:t>
      </w:r>
      <w:r>
        <w:rPr>
          <w:sz w:val="24"/>
        </w:rPr>
        <w:t>、</w:t>
      </w:r>
      <w:r>
        <w:rPr>
          <w:rFonts w:hint="default" w:ascii="Times New Roman" w:hAnsi="Times New Roman" w:cs="Times New Roman"/>
          <w:sz w:val="24"/>
        </w:rPr>
        <w:t>Fbg</w:t>
      </w:r>
      <w:r>
        <w:rPr>
          <w:sz w:val="24"/>
        </w:rPr>
        <w:t>浓度和24 h尿蛋白定量在各肾脏病理分级患儿中比较差异均有统计学意义（</w:t>
      </w:r>
      <w:r>
        <w:rPr>
          <w:i/>
          <w:iCs/>
          <w:sz w:val="24"/>
        </w:rPr>
        <w:t>P</w:t>
      </w:r>
      <w:r>
        <w:rPr>
          <w:sz w:val="24"/>
        </w:rPr>
        <w:t>&lt;0.05），且各指标水平均随病理分级严重程度增高而上升（</w:t>
      </w:r>
      <w:r>
        <w:rPr>
          <w:i/>
          <w:iCs/>
          <w:sz w:val="24"/>
        </w:rPr>
        <w:t>P</w:t>
      </w:r>
      <w:r>
        <w:rPr>
          <w:sz w:val="24"/>
        </w:rPr>
        <w:t>&lt;0.05）。48例</w:t>
      </w:r>
      <w:r>
        <w:rPr>
          <w:rFonts w:hint="default" w:ascii="Times New Roman" w:hAnsi="Times New Roman" w:cs="Times New Roman"/>
          <w:sz w:val="24"/>
        </w:rPr>
        <w:t>HSPN</w:t>
      </w:r>
      <w:r>
        <w:rPr>
          <w:sz w:val="24"/>
        </w:rPr>
        <w:t>患儿血清</w:t>
      </w:r>
      <w:r>
        <w:rPr>
          <w:rFonts w:hint="default" w:ascii="Times New Roman" w:hAnsi="Times New Roman" w:cs="Times New Roman"/>
          <w:sz w:val="24"/>
        </w:rPr>
        <w:t>CysC</w:t>
      </w:r>
      <w:r>
        <w:rPr>
          <w:sz w:val="24"/>
        </w:rPr>
        <w:t>与</w:t>
      </w:r>
      <w:r>
        <w:rPr>
          <w:rFonts w:hint="default" w:ascii="Times New Roman" w:hAnsi="Times New Roman" w:cs="Times New Roman"/>
          <w:sz w:val="24"/>
        </w:rPr>
        <w:t>Fbg</w:t>
      </w:r>
      <w:r>
        <w:rPr>
          <w:sz w:val="24"/>
        </w:rPr>
        <w:t>及24 h尿蛋白定量之间均呈正相关（分别</w:t>
      </w:r>
      <w:r>
        <w:rPr>
          <w:i/>
          <w:iCs/>
          <w:sz w:val="24"/>
        </w:rPr>
        <w:t>r</w:t>
      </w:r>
      <w:r>
        <w:rPr>
          <w:sz w:val="24"/>
        </w:rPr>
        <w:t>=0.51、0.63，</w:t>
      </w:r>
      <w:r>
        <w:rPr>
          <w:i/>
          <w:iCs/>
          <w:sz w:val="24"/>
        </w:rPr>
        <w:t>P</w:t>
      </w:r>
      <w:r>
        <w:rPr>
          <w:sz w:val="24"/>
        </w:rPr>
        <w:t>＜0.05）；</w:t>
      </w:r>
      <w:r>
        <w:rPr>
          <w:rFonts w:hint="default" w:ascii="Times New Roman" w:hAnsi="Times New Roman" w:cs="Times New Roman"/>
          <w:sz w:val="24"/>
        </w:rPr>
        <w:t>Fbg</w:t>
      </w:r>
      <w:r>
        <w:rPr>
          <w:sz w:val="24"/>
        </w:rPr>
        <w:t>与血清</w:t>
      </w:r>
      <w:r>
        <w:rPr>
          <w:rFonts w:hint="default" w:ascii="Times New Roman" w:hAnsi="Times New Roman" w:cs="Times New Roman"/>
          <w:sz w:val="24"/>
        </w:rPr>
        <w:t>CysC</w:t>
      </w:r>
      <w:r>
        <w:rPr>
          <w:sz w:val="24"/>
        </w:rPr>
        <w:t>之间呈正相关（</w:t>
      </w:r>
      <w:r>
        <w:rPr>
          <w:i/>
          <w:iCs/>
          <w:sz w:val="24"/>
        </w:rPr>
        <w:t>r</w:t>
      </w:r>
      <w:r>
        <w:rPr>
          <w:sz w:val="24"/>
        </w:rPr>
        <w:t>=0.55，</w:t>
      </w:r>
      <w:r>
        <w:rPr>
          <w:i/>
          <w:iCs/>
          <w:sz w:val="24"/>
        </w:rPr>
        <w:t>P</w:t>
      </w:r>
      <w:r>
        <w:rPr>
          <w:sz w:val="24"/>
        </w:rPr>
        <w:t>＜0.05）；CysC、Fbg及24 h尿蛋白定量与肾脏病理分级之间均呈正相关（分别</w:t>
      </w:r>
      <w:r>
        <w:rPr>
          <w:i/>
          <w:iCs/>
          <w:sz w:val="24"/>
        </w:rPr>
        <w:t>r</w:t>
      </w:r>
      <w:r>
        <w:rPr>
          <w:sz w:val="24"/>
        </w:rPr>
        <w:t>= 0.66、0.64、0.68，均</w:t>
      </w:r>
      <w:r>
        <w:rPr>
          <w:i/>
          <w:iCs/>
          <w:sz w:val="24"/>
        </w:rPr>
        <w:t>P</w:t>
      </w:r>
      <w:r>
        <w:rPr>
          <w:sz w:val="24"/>
        </w:rPr>
        <w:t>＜0.05）.</w:t>
      </w:r>
    </w:p>
    <w:p>
      <w:pPr>
        <w:pStyle w:val="6"/>
        <w:autoSpaceDE w:val="0"/>
        <w:autoSpaceDN w:val="0"/>
        <w:adjustRightInd w:val="0"/>
        <w:spacing w:line="360" w:lineRule="auto"/>
        <w:ind w:firstLine="480" w:firstLineChars="0"/>
        <w:rPr>
          <w:rFonts w:hint="eastAsia"/>
          <w:b/>
          <w:spacing w:val="0"/>
          <w:kern w:val="2"/>
          <w:position w:val="0"/>
        </w:rPr>
      </w:pPr>
      <w:r>
        <w:rPr>
          <w:rFonts w:hint="eastAsia" w:ascii="黑体" w:hAnsi="黑体" w:eastAsia="黑体" w:cs="黑体"/>
          <w:b/>
          <w:spacing w:val="0"/>
          <w:kern w:val="2"/>
          <w:position w:val="0"/>
        </w:rPr>
        <w:t>结论</w:t>
      </w:r>
      <w:r>
        <w:rPr>
          <w:rFonts w:hint="eastAsia"/>
          <w:b/>
          <w:spacing w:val="0"/>
          <w:kern w:val="2"/>
          <w:position w:val="0"/>
        </w:rPr>
        <w:t xml:space="preserve">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1.4组紫癜性肾炎患儿的血清</w:t>
      </w:r>
      <w:r>
        <w:rPr>
          <w:rFonts w:hint="default" w:ascii="Times New Roman" w:hAnsi="Times New Roman" w:cs="Times New Roman"/>
          <w:sz w:val="24"/>
        </w:rPr>
        <w:t>CysC</w:t>
      </w:r>
      <w:r>
        <w:rPr>
          <w:sz w:val="24"/>
        </w:rPr>
        <w:t>、</w:t>
      </w:r>
      <w:r>
        <w:rPr>
          <w:rFonts w:hint="default" w:ascii="Times New Roman" w:hAnsi="Times New Roman" w:cs="Times New Roman"/>
          <w:sz w:val="24"/>
        </w:rPr>
        <w:t>Fbg</w:t>
      </w:r>
      <w:r>
        <w:rPr>
          <w:sz w:val="24"/>
        </w:rPr>
        <w:t>及24小时尿蛋白定量在各肾脏病理分级中差异均有统计学意义，说明随着肾脏病理分级的加重，各指标值也随着升高，即在临床上如果主观和客观条件都不被允许做肾脏</w:t>
      </w:r>
      <w:bookmarkStart w:id="0" w:name="_GoBack"/>
      <w:bookmarkEnd w:id="0"/>
      <w:r>
        <w:rPr>
          <w:sz w:val="24"/>
        </w:rPr>
        <w:t>穿刺术，可根据这几项指标粗略判断肾脏受损严重程度。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2.根据这三项指标之间的相关性分析结果，再次验证了1的结论。当然，此次研究病例数较少，结论还需要多中心、大样本的继续研究。</w:t>
      </w:r>
    </w:p>
    <w:p>
      <w:pPr>
        <w:spacing w:line="360" w:lineRule="auto"/>
        <w:rPr>
          <w:sz w:val="24"/>
        </w:rPr>
      </w:pPr>
      <w:r>
        <w:rPr>
          <w:rFonts w:hint="eastAsia" w:eastAsia="黑体"/>
          <w:sz w:val="28"/>
          <w:szCs w:val="28"/>
          <w:lang w:val="en-US" w:eastAsia="zh-CN"/>
        </w:rPr>
        <w:t xml:space="preserve">   </w:t>
      </w:r>
      <w:r>
        <w:rPr>
          <w:rFonts w:eastAsia="黑体"/>
          <w:sz w:val="24"/>
          <w:szCs w:val="24"/>
        </w:rPr>
        <w:t>关键词</w:t>
      </w:r>
      <w:r>
        <w:rPr>
          <w:rFonts w:eastAsia="黑体"/>
          <w:sz w:val="28"/>
          <w:szCs w:val="28"/>
        </w:rPr>
        <w:t xml:space="preserve"> </w:t>
      </w:r>
      <w:r>
        <w:rPr>
          <w:sz w:val="24"/>
        </w:rPr>
        <w:t>胱抑素C；纤维蛋白原；尿蛋白定量；紫癜性肾炎；肾脏病理</w:t>
      </w:r>
    </w:p>
    <w:p>
      <w:pPr/>
    </w:p>
    <w:sectPr>
      <w:pgSz w:w="11906" w:h="16838"/>
      <w:pgMar w:top="1701" w:right="1418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D16AA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"/>
    <w:basedOn w:val="1"/>
    <w:qFormat/>
    <w:uiPriority w:val="0"/>
    <w:pPr>
      <w:widowControl/>
      <w:ind w:firstLine="420" w:firstLineChars="200"/>
    </w:pPr>
    <w:rPr>
      <w:rFonts w:ascii="宋体" w:hAnsi="宋体" w:cs="宋体"/>
      <w:bCs/>
      <w:spacing w:val="20"/>
      <w:kern w:val="24"/>
      <w:position w:val="4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2016-05-06T23:12:26Z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