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2"/>
          <w:szCs w:val="32"/>
        </w:rPr>
      </w:pPr>
      <w:bookmarkStart w:id="0" w:name="OLE_LINK11"/>
      <w:bookmarkStart w:id="1" w:name="OLE_LINK12"/>
      <w:bookmarkStart w:id="2" w:name="OLE_LINK77"/>
      <w:bookmarkStart w:id="3" w:name="OLE_LINK76"/>
      <w:r>
        <w:rPr>
          <w:rFonts w:eastAsia="黑体"/>
          <w:sz w:val="32"/>
          <w:szCs w:val="32"/>
        </w:rPr>
        <w:t>普伐他汀对人肺腺癌A549细胞凋亡影响的研究</w:t>
      </w:r>
    </w:p>
    <w:bookmarkEnd w:id="0"/>
    <w:bookmarkEnd w:id="1"/>
    <w:p>
      <w:pPr>
        <w:spacing w:line="360" w:lineRule="auto"/>
        <w:jc w:val="center"/>
        <w:rPr>
          <w:rFonts w:eastAsia="黑体"/>
          <w:sz w:val="30"/>
          <w:szCs w:val="30"/>
        </w:rPr>
      </w:pPr>
      <w:r>
        <w:rPr>
          <w:rFonts w:eastAsia="黑体"/>
          <w:sz w:val="30"/>
          <w:szCs w:val="30"/>
        </w:rPr>
        <w:t>摘 要</w:t>
      </w:r>
    </w:p>
    <w:p>
      <w:pPr>
        <w:spacing w:line="360" w:lineRule="auto"/>
        <w:rPr>
          <w:rFonts w:eastAsia="黑体"/>
          <w:sz w:val="28"/>
          <w:szCs w:val="28"/>
        </w:rPr>
      </w:pPr>
      <w:r>
        <w:rPr>
          <w:rFonts w:eastAsia="黑体"/>
          <w:sz w:val="28"/>
          <w:szCs w:val="28"/>
        </w:rPr>
        <w:t>背景</w:t>
      </w:r>
    </w:p>
    <w:p>
      <w:pPr>
        <w:pStyle w:val="2"/>
        <w:spacing w:line="360" w:lineRule="auto"/>
        <w:ind w:firstLine="480" w:firstLineChars="200"/>
        <w:rPr>
          <w:rFonts w:ascii="Times New Roman" w:hAnsi="Times New Roman"/>
          <w:color w:val="000000"/>
          <w:kern w:val="0"/>
          <w:sz w:val="24"/>
        </w:rPr>
      </w:pPr>
      <w:r>
        <w:rPr>
          <w:rFonts w:ascii="Times New Roman" w:hAnsi="Times New Roman"/>
          <w:kern w:val="0"/>
          <w:sz w:val="24"/>
        </w:rPr>
        <w:t>恶性肿瘤（malignant tumor，MT）是一类以细胞分化异常、增殖异常、生长失去控制为特征的疾病。近年来在世界范围内，与生态环境、生活方式相关的MT呈现持续性增长势头，而肺癌已成为我国首位</w:t>
      </w:r>
      <w:r>
        <w:rPr>
          <w:rStyle w:val="5"/>
          <w:rFonts w:ascii="Times New Roman" w:hAnsi="Times New Roman"/>
          <w:kern w:val="0"/>
          <w:sz w:val="24"/>
        </w:rPr>
        <w:t>MT</w:t>
      </w:r>
      <w:r>
        <w:rPr>
          <w:rFonts w:ascii="Times New Roman" w:hAnsi="Times New Roman"/>
          <w:kern w:val="0"/>
          <w:sz w:val="24"/>
        </w:rPr>
        <w:t>死亡的原因，占全部</w:t>
      </w:r>
      <w:r>
        <w:rPr>
          <w:rStyle w:val="5"/>
          <w:rFonts w:ascii="Times New Roman" w:hAnsi="Times New Roman"/>
          <w:kern w:val="0"/>
          <w:sz w:val="24"/>
        </w:rPr>
        <w:t>MT</w:t>
      </w:r>
      <w:r>
        <w:rPr>
          <w:rFonts w:ascii="Times New Roman" w:hAnsi="Times New Roman"/>
          <w:kern w:val="0"/>
          <w:sz w:val="24"/>
        </w:rPr>
        <w:t>死亡的22.7%。此外，肿瘤流行病学研究还发现，随着吸烟的普及，20世纪20年代起肺癌的发病率及死亡率就已经开始上升，以后还将会持续不断上升。目前，在临床上最常见的肺癌类型是非小细胞肺癌（non-small cell lung cancer，NLCSC），占所有肺癌的80%。而从上世纪末开始，NLCSC中肺腺癌（Lung adenocarcinoma，AC）的发病率不断增加，目前已取代肺鳞癌（Squamous cell lung carcinoma，SCC）成为肺癌中最常见的病理类型。AC，</w:t>
      </w:r>
      <w:r>
        <w:rPr>
          <w:rFonts w:ascii="Times New Roman" w:hAnsi="Times New Roman"/>
          <w:color w:val="000000"/>
          <w:kern w:val="0"/>
          <w:sz w:val="24"/>
        </w:rPr>
        <w:t>因其潜伏期</w:t>
      </w:r>
      <w:r>
        <w:rPr>
          <w:rFonts w:hint="eastAsia" w:ascii="Times New Roman" w:hAnsi="Times New Roman"/>
          <w:color w:val="000000"/>
          <w:kern w:val="0"/>
          <w:sz w:val="24"/>
          <w:lang w:eastAsia="zh-CN"/>
        </w:rPr>
        <w:t>比</w:t>
      </w:r>
      <w:r>
        <w:rPr>
          <w:rFonts w:ascii="Times New Roman" w:hAnsi="Times New Roman"/>
          <w:color w:val="000000"/>
          <w:kern w:val="0"/>
          <w:sz w:val="24"/>
        </w:rPr>
        <w:t>较长，很多</w:t>
      </w:r>
      <w:r>
        <w:rPr>
          <w:rFonts w:hint="eastAsia" w:ascii="Times New Roman" w:hAnsi="Times New Roman"/>
          <w:color w:val="000000"/>
          <w:kern w:val="0"/>
          <w:sz w:val="24"/>
          <w:lang w:eastAsia="zh-CN"/>
        </w:rPr>
        <w:t>病人发现并</w:t>
      </w:r>
      <w:r>
        <w:rPr>
          <w:rFonts w:ascii="Times New Roman" w:hAnsi="Times New Roman"/>
          <w:color w:val="000000"/>
          <w:kern w:val="0"/>
          <w:sz w:val="24"/>
        </w:rPr>
        <w:t>确诊</w:t>
      </w:r>
      <w:r>
        <w:rPr>
          <w:rFonts w:hint="eastAsia" w:ascii="Times New Roman" w:hAnsi="Times New Roman"/>
          <w:color w:val="000000"/>
          <w:kern w:val="0"/>
          <w:sz w:val="24"/>
          <w:lang w:eastAsia="zh-CN"/>
        </w:rPr>
        <w:t>该疾病</w:t>
      </w:r>
      <w:r>
        <w:rPr>
          <w:rFonts w:ascii="Times New Roman" w:hAnsi="Times New Roman"/>
          <w:color w:val="000000"/>
          <w:kern w:val="0"/>
          <w:sz w:val="24"/>
        </w:rPr>
        <w:t>时多已处于晚期，</w:t>
      </w:r>
      <w:r>
        <w:rPr>
          <w:rFonts w:hint="eastAsia" w:ascii="Times New Roman" w:hAnsi="Times New Roman"/>
          <w:color w:val="000000"/>
          <w:kern w:val="0"/>
          <w:sz w:val="24"/>
          <w:lang w:eastAsia="zh-CN"/>
        </w:rPr>
        <w:t>此</w:t>
      </w:r>
      <w:r>
        <w:rPr>
          <w:rFonts w:ascii="Times New Roman" w:hAnsi="Times New Roman"/>
          <w:color w:val="000000"/>
          <w:kern w:val="0"/>
          <w:sz w:val="24"/>
        </w:rPr>
        <w:t>期AC的发病率</w:t>
      </w:r>
      <w:r>
        <w:rPr>
          <w:rFonts w:hint="eastAsia" w:ascii="Times New Roman" w:hAnsi="Times New Roman"/>
          <w:color w:val="000000"/>
          <w:kern w:val="0"/>
          <w:sz w:val="24"/>
          <w:lang w:eastAsia="zh-CN"/>
        </w:rPr>
        <w:t>伴随着人们生活压力的不断增加也表</w:t>
      </w:r>
      <w:r>
        <w:rPr>
          <w:rFonts w:ascii="Times New Roman" w:hAnsi="Times New Roman"/>
          <w:color w:val="000000"/>
          <w:kern w:val="0"/>
          <w:sz w:val="24"/>
        </w:rPr>
        <w:t>现</w:t>
      </w:r>
      <w:r>
        <w:rPr>
          <w:rFonts w:hint="eastAsia" w:ascii="Times New Roman" w:hAnsi="Times New Roman"/>
          <w:color w:val="000000"/>
          <w:kern w:val="0"/>
          <w:sz w:val="24"/>
          <w:lang w:eastAsia="zh-CN"/>
        </w:rPr>
        <w:t>出</w:t>
      </w:r>
      <w:r>
        <w:rPr>
          <w:rFonts w:ascii="Times New Roman" w:hAnsi="Times New Roman"/>
          <w:color w:val="000000"/>
          <w:kern w:val="0"/>
          <w:sz w:val="24"/>
        </w:rPr>
        <w:t>较为明显的</w:t>
      </w:r>
      <w:r>
        <w:rPr>
          <w:rFonts w:hint="eastAsia" w:ascii="Times New Roman" w:hAnsi="Times New Roman"/>
          <w:color w:val="000000"/>
          <w:kern w:val="0"/>
          <w:sz w:val="24"/>
          <w:lang w:eastAsia="zh-CN"/>
        </w:rPr>
        <w:t>升高</w:t>
      </w:r>
      <w:r>
        <w:rPr>
          <w:rFonts w:ascii="Times New Roman" w:hAnsi="Times New Roman"/>
          <w:color w:val="000000"/>
          <w:kern w:val="0"/>
          <w:sz w:val="24"/>
        </w:rPr>
        <w:t>趋势，</w:t>
      </w:r>
      <w:r>
        <w:rPr>
          <w:rFonts w:hint="eastAsia" w:ascii="Times New Roman" w:hAnsi="Times New Roman"/>
          <w:color w:val="000000"/>
          <w:kern w:val="0"/>
          <w:sz w:val="24"/>
          <w:lang w:eastAsia="zh-CN"/>
        </w:rPr>
        <w:t>学术界对这一趋势的变化也给予了高度的重视，</w:t>
      </w:r>
      <w:r>
        <w:rPr>
          <w:rFonts w:ascii="Times New Roman" w:hAnsi="Times New Roman"/>
          <w:color w:val="000000"/>
          <w:kern w:val="0"/>
          <w:sz w:val="24"/>
        </w:rPr>
        <w:t>因此寻找</w:t>
      </w:r>
      <w:r>
        <w:rPr>
          <w:rFonts w:hint="eastAsia" w:ascii="Times New Roman" w:hAnsi="Times New Roman"/>
          <w:color w:val="000000"/>
          <w:kern w:val="0"/>
          <w:sz w:val="24"/>
          <w:lang w:eastAsia="zh-CN"/>
        </w:rPr>
        <w:t>某种</w:t>
      </w:r>
      <w:r>
        <w:rPr>
          <w:rFonts w:ascii="Times New Roman" w:hAnsi="Times New Roman"/>
          <w:color w:val="000000"/>
          <w:kern w:val="0"/>
          <w:sz w:val="24"/>
        </w:rPr>
        <w:t>安全有效的药物</w:t>
      </w:r>
      <w:r>
        <w:rPr>
          <w:rFonts w:hint="eastAsia" w:ascii="Times New Roman" w:hAnsi="Times New Roman"/>
          <w:color w:val="000000"/>
          <w:kern w:val="0"/>
          <w:sz w:val="24"/>
          <w:lang w:eastAsia="zh-CN"/>
        </w:rPr>
        <w:t>对于</w:t>
      </w:r>
      <w:r>
        <w:rPr>
          <w:rFonts w:ascii="Times New Roman" w:hAnsi="Times New Roman"/>
          <w:color w:val="000000"/>
          <w:kern w:val="0"/>
          <w:sz w:val="24"/>
        </w:rPr>
        <w:t>治疗晚期AC</w:t>
      </w:r>
      <w:r>
        <w:rPr>
          <w:rFonts w:hint="eastAsia" w:ascii="Times New Roman" w:hAnsi="Times New Roman"/>
          <w:color w:val="000000"/>
          <w:kern w:val="0"/>
          <w:sz w:val="24"/>
          <w:lang w:eastAsia="zh-CN"/>
        </w:rPr>
        <w:t>具有一定的临床应用价值和实用性。</w:t>
      </w:r>
    </w:p>
    <w:p>
      <w:pPr>
        <w:spacing w:line="360" w:lineRule="auto"/>
        <w:rPr>
          <w:rFonts w:eastAsia="黑体"/>
          <w:sz w:val="28"/>
          <w:szCs w:val="28"/>
        </w:rPr>
      </w:pPr>
      <w:r>
        <w:rPr>
          <w:rFonts w:eastAsia="黑体"/>
          <w:sz w:val="28"/>
          <w:szCs w:val="28"/>
        </w:rPr>
        <w:t>目的</w:t>
      </w:r>
    </w:p>
    <w:p>
      <w:pPr>
        <w:pStyle w:val="2"/>
        <w:spacing w:line="360" w:lineRule="auto"/>
        <w:ind w:firstLine="480" w:firstLineChars="200"/>
        <w:rPr>
          <w:rFonts w:ascii="Times New Roman" w:hAnsi="Times New Roman"/>
          <w:kern w:val="0"/>
          <w:sz w:val="24"/>
        </w:rPr>
      </w:pPr>
      <w:r>
        <w:rPr>
          <w:rFonts w:ascii="Times New Roman" w:hAnsi="Times New Roman"/>
          <w:kern w:val="0"/>
          <w:sz w:val="24"/>
        </w:rPr>
        <w:t>本实验研究旨在初步探索并分析普伐他汀（Pravastatin，PRAV）对人肺腺癌A549细胞凋亡的影响，以及PRAV对A549细胞凋亡途径中Bax、Bcl-2的影响，阐述其可能抗肿瘤的相关机制，探索最适的药物浓度，为他汀类药物在肺癌的预防及治疗等方面的临床应用打下一定的理论基础。</w:t>
      </w:r>
    </w:p>
    <w:p>
      <w:pPr>
        <w:spacing w:line="360" w:lineRule="auto"/>
        <w:rPr>
          <w:rFonts w:eastAsia="黑体"/>
          <w:sz w:val="28"/>
          <w:szCs w:val="28"/>
        </w:rPr>
      </w:pPr>
      <w:r>
        <w:rPr>
          <w:rFonts w:eastAsia="黑体"/>
          <w:sz w:val="28"/>
          <w:szCs w:val="28"/>
        </w:rPr>
        <w:t xml:space="preserve">方法 </w:t>
      </w:r>
    </w:p>
    <w:p>
      <w:pPr>
        <w:pStyle w:val="2"/>
        <w:spacing w:line="360" w:lineRule="auto"/>
        <w:ind w:firstLine="600" w:firstLineChars="250"/>
        <w:rPr>
          <w:rFonts w:ascii="Times New Roman" w:hAnsi="Times New Roman"/>
          <w:kern w:val="0"/>
          <w:sz w:val="24"/>
        </w:rPr>
      </w:pPr>
      <w:r>
        <w:rPr>
          <w:rFonts w:ascii="Times New Roman" w:hAnsi="Times New Roman"/>
          <w:kern w:val="0"/>
          <w:sz w:val="24"/>
        </w:rPr>
        <w:t>1．按照常规体外培养人肺腺癌细胞A549，采用四甲基偶氮唑蓝(tetrzolium-based colorimetric assay， MTT)法观察PRAV不同浓度组(0 umol/L、20 umol/L、40 umol/L、80 umol/L、160umol/L)、不同时间组(24、48、72h)对细胞增殖的影响，从而选择适当的药物浓度和适当的作用时间</w:t>
      </w:r>
      <w:r>
        <w:rPr>
          <w:rFonts w:ascii="Times New Roman" w:hAnsi="Times New Roman"/>
          <w:sz w:val="24"/>
        </w:rPr>
        <w:t>。</w:t>
      </w:r>
      <w:r>
        <w:rPr>
          <w:rFonts w:ascii="Times New Roman" w:hAnsi="Times New Roman"/>
          <w:kern w:val="0"/>
          <w:sz w:val="24"/>
        </w:rPr>
        <w:t>然后根据MTT结果，设置对照组及实验组(0 umol/L、40 umol/L、80 umol/L、160 umol/L)。</w:t>
      </w:r>
    </w:p>
    <w:p>
      <w:pPr>
        <w:pStyle w:val="2"/>
        <w:spacing w:line="360" w:lineRule="auto"/>
        <w:ind w:left="359" w:leftChars="171" w:firstLine="240" w:firstLineChars="100"/>
        <w:rPr>
          <w:rFonts w:ascii="Times New Roman" w:hAnsi="Times New Roman"/>
          <w:kern w:val="0"/>
          <w:sz w:val="24"/>
        </w:rPr>
      </w:pPr>
      <w:r>
        <w:rPr>
          <w:rFonts w:ascii="Times New Roman" w:hAnsi="Times New Roman"/>
          <w:kern w:val="0"/>
          <w:sz w:val="24"/>
        </w:rPr>
        <w:t>2．用流式细胞仪(flow cytometry，FCM)检测各组A549细胞的凋亡率。</w:t>
      </w:r>
    </w:p>
    <w:p>
      <w:pPr>
        <w:spacing w:line="360" w:lineRule="auto"/>
        <w:ind w:left="496" w:leftChars="236" w:firstLine="120" w:firstLineChars="50"/>
        <w:rPr>
          <w:sz w:val="24"/>
        </w:rPr>
      </w:pPr>
      <w:r>
        <w:rPr>
          <w:sz w:val="24"/>
        </w:rPr>
        <w:t>3．采用Western blot法检测各组A549细胞中Bax、Bcl-2的蛋白表达水平。</w:t>
      </w:r>
    </w:p>
    <w:p>
      <w:pPr>
        <w:spacing w:line="360" w:lineRule="auto"/>
        <w:rPr>
          <w:rFonts w:eastAsia="黑体"/>
          <w:sz w:val="28"/>
          <w:szCs w:val="28"/>
        </w:rPr>
      </w:pPr>
      <w:r>
        <w:rPr>
          <w:rFonts w:eastAsia="黑体"/>
          <w:sz w:val="28"/>
          <w:szCs w:val="28"/>
        </w:rPr>
        <w:t xml:space="preserve">结果 </w:t>
      </w:r>
    </w:p>
    <w:p>
      <w:pPr>
        <w:pStyle w:val="2"/>
        <w:spacing w:line="360" w:lineRule="auto"/>
        <w:ind w:firstLine="600" w:firstLineChars="250"/>
        <w:rPr>
          <w:rFonts w:ascii="Times New Roman" w:hAnsi="Times New Roman"/>
          <w:kern w:val="0"/>
          <w:sz w:val="24"/>
        </w:rPr>
      </w:pPr>
      <w:r>
        <w:rPr>
          <w:rFonts w:ascii="Times New Roman" w:hAnsi="Times New Roman"/>
          <w:kern w:val="0"/>
          <w:sz w:val="24"/>
        </w:rPr>
        <w:t>1．MTT</w:t>
      </w:r>
      <w:r>
        <w:rPr>
          <w:rFonts w:ascii="Times New Roman" w:hAnsi="Times New Roman"/>
          <w:kern w:val="0"/>
          <w:sz w:val="24"/>
          <w:szCs w:val="21"/>
        </w:rPr>
        <w:t>结果表明不同浓度的</w:t>
      </w:r>
      <w:r>
        <w:rPr>
          <w:rFonts w:ascii="Times New Roman" w:hAnsi="Times New Roman"/>
          <w:color w:val="000000"/>
          <w:kern w:val="0"/>
          <w:sz w:val="24"/>
          <w:szCs w:val="21"/>
        </w:rPr>
        <w:t>普伐他汀对人肺腺癌A549细胞作用24h、48h、72h后的细胞增殖有显著的抑制作用（</w:t>
      </w:r>
      <w:r>
        <w:rPr>
          <w:rFonts w:ascii="Times New Roman" w:hAnsi="Times New Roman"/>
          <w:i/>
          <w:color w:val="000000"/>
          <w:kern w:val="0"/>
          <w:sz w:val="24"/>
          <w:szCs w:val="21"/>
        </w:rPr>
        <w:t>P</w:t>
      </w:r>
      <w:r>
        <w:rPr>
          <w:rFonts w:ascii="Times New Roman" w:hAnsi="Times New Roman"/>
          <w:color w:val="000000"/>
          <w:kern w:val="0"/>
          <w:sz w:val="24"/>
          <w:szCs w:val="21"/>
        </w:rPr>
        <w:t>＜0.05），在</w:t>
      </w:r>
      <w:r>
        <w:rPr>
          <w:rFonts w:ascii="Times New Roman" w:hAnsi="Times New Roman"/>
          <w:kern w:val="0"/>
          <w:sz w:val="24"/>
          <w:szCs w:val="21"/>
        </w:rPr>
        <w:t>同一时间不同浓度与对照组比较，</w:t>
      </w:r>
      <w:r>
        <w:rPr>
          <w:rFonts w:ascii="Times New Roman" w:hAnsi="Times New Roman"/>
          <w:color w:val="000000"/>
          <w:kern w:val="0"/>
          <w:sz w:val="24"/>
          <w:szCs w:val="21"/>
        </w:rPr>
        <w:t>其抑制作用明显增强（</w:t>
      </w:r>
      <w:r>
        <w:rPr>
          <w:rFonts w:ascii="Times New Roman" w:hAnsi="Times New Roman"/>
          <w:i/>
          <w:color w:val="000000"/>
          <w:kern w:val="0"/>
          <w:sz w:val="24"/>
          <w:szCs w:val="21"/>
        </w:rPr>
        <w:t>P</w:t>
      </w:r>
      <w:r>
        <w:rPr>
          <w:rFonts w:ascii="Times New Roman" w:hAnsi="Times New Roman"/>
          <w:color w:val="000000"/>
          <w:kern w:val="0"/>
          <w:sz w:val="24"/>
          <w:szCs w:val="21"/>
        </w:rPr>
        <w:t>＜0.05）</w:t>
      </w:r>
      <w:r>
        <w:rPr>
          <w:rFonts w:ascii="Times New Roman" w:hAnsi="Times New Roman"/>
          <w:kern w:val="0"/>
          <w:sz w:val="24"/>
          <w:szCs w:val="21"/>
        </w:rPr>
        <w:t>，在同一</w:t>
      </w:r>
      <w:r>
        <w:rPr>
          <w:rFonts w:ascii="Times New Roman" w:hAnsi="Times New Roman"/>
          <w:color w:val="000000"/>
          <w:kern w:val="0"/>
          <w:sz w:val="24"/>
          <w:szCs w:val="21"/>
        </w:rPr>
        <w:t>浓度与24h比较其抑制作用也明显增强（</w:t>
      </w:r>
      <w:r>
        <w:rPr>
          <w:rFonts w:ascii="Times New Roman" w:hAnsi="Times New Roman"/>
          <w:i/>
          <w:color w:val="000000"/>
          <w:kern w:val="0"/>
          <w:sz w:val="24"/>
          <w:szCs w:val="21"/>
        </w:rPr>
        <w:t>P</w:t>
      </w:r>
      <w:r>
        <w:rPr>
          <w:rFonts w:ascii="Times New Roman" w:hAnsi="Times New Roman"/>
          <w:color w:val="000000"/>
          <w:kern w:val="0"/>
          <w:sz w:val="24"/>
          <w:szCs w:val="21"/>
        </w:rPr>
        <w:t>＜0.05）；</w:t>
      </w:r>
      <w:r>
        <w:rPr>
          <w:rFonts w:ascii="Times New Roman" w:hAnsi="Times New Roman"/>
          <w:kern w:val="0"/>
          <w:sz w:val="24"/>
        </w:rPr>
        <w:t>PRAV对人肺腺癌A549细胞的增殖有抑制作用，其抑制作用在浓度及时间上呈现量效关系（</w:t>
      </w:r>
      <w:r>
        <w:rPr>
          <w:rFonts w:ascii="Times New Roman" w:hAnsi="Times New Roman"/>
          <w:i/>
          <w:color w:val="000000"/>
          <w:kern w:val="0"/>
          <w:sz w:val="24"/>
          <w:szCs w:val="21"/>
        </w:rPr>
        <w:t>P</w:t>
      </w:r>
      <w:r>
        <w:rPr>
          <w:rFonts w:ascii="Times New Roman" w:hAnsi="Times New Roman"/>
          <w:kern w:val="0"/>
          <w:sz w:val="24"/>
        </w:rPr>
        <w:t>＜0.05）。</w:t>
      </w:r>
    </w:p>
    <w:p>
      <w:pPr>
        <w:pStyle w:val="2"/>
        <w:spacing w:line="360" w:lineRule="auto"/>
        <w:ind w:firstLine="600" w:firstLineChars="250"/>
        <w:rPr>
          <w:rFonts w:ascii="Times New Roman" w:hAnsi="Times New Roman"/>
          <w:kern w:val="0"/>
          <w:sz w:val="24"/>
        </w:rPr>
      </w:pPr>
      <w:r>
        <w:rPr>
          <w:rFonts w:ascii="Times New Roman" w:hAnsi="Times New Roman"/>
          <w:color w:val="000000"/>
          <w:kern w:val="0"/>
          <w:sz w:val="24"/>
          <w:szCs w:val="21"/>
        </w:rPr>
        <w:t>2．流式细胞学检测结果显示40、80、160 μmol/L普伐他汀组作用48h后细胞的凋亡率明显增强（</w:t>
      </w:r>
      <w:r>
        <w:rPr>
          <w:rFonts w:ascii="Times New Roman" w:hAnsi="Times New Roman"/>
          <w:i/>
          <w:color w:val="000000"/>
          <w:kern w:val="0"/>
          <w:sz w:val="24"/>
          <w:szCs w:val="21"/>
        </w:rPr>
        <w:t>P</w:t>
      </w:r>
      <w:r>
        <w:rPr>
          <w:rFonts w:ascii="Times New Roman" w:hAnsi="Times New Roman"/>
          <w:color w:val="000000"/>
          <w:kern w:val="0"/>
          <w:sz w:val="24"/>
          <w:szCs w:val="21"/>
        </w:rPr>
        <w:t>＜0.05）；且</w:t>
      </w:r>
      <w:r>
        <w:rPr>
          <w:rFonts w:ascii="Times New Roman" w:hAnsi="Times New Roman"/>
          <w:kern w:val="0"/>
          <w:sz w:val="24"/>
        </w:rPr>
        <w:t>随着PRAV药物浓度的增加，A549细胞的凋亡率也逐渐升高，并呈一定的剂量依赖性（</w:t>
      </w:r>
      <w:r>
        <w:rPr>
          <w:rFonts w:ascii="Times New Roman" w:hAnsi="Times New Roman"/>
          <w:i/>
          <w:color w:val="000000"/>
          <w:kern w:val="0"/>
          <w:sz w:val="24"/>
          <w:szCs w:val="21"/>
        </w:rPr>
        <w:t>P</w:t>
      </w:r>
      <w:r>
        <w:rPr>
          <w:rFonts w:ascii="Times New Roman" w:hAnsi="Times New Roman"/>
          <w:kern w:val="0"/>
          <w:sz w:val="24"/>
        </w:rPr>
        <w:t>＜0.05）。</w:t>
      </w:r>
    </w:p>
    <w:p>
      <w:pPr>
        <w:pStyle w:val="2"/>
        <w:spacing w:line="360" w:lineRule="auto"/>
        <w:ind w:firstLine="600" w:firstLineChars="250"/>
        <w:rPr>
          <w:rFonts w:ascii="Times New Roman" w:hAnsi="Times New Roman"/>
          <w:kern w:val="0"/>
          <w:sz w:val="24"/>
        </w:rPr>
      </w:pPr>
      <w:r>
        <w:rPr>
          <w:rFonts w:ascii="Times New Roman" w:hAnsi="Times New Roman"/>
          <w:color w:val="000000"/>
          <w:kern w:val="0"/>
          <w:sz w:val="24"/>
          <w:szCs w:val="21"/>
        </w:rPr>
        <w:t>3. Western blot结果显示</w:t>
      </w:r>
      <w:r>
        <w:rPr>
          <w:rFonts w:ascii="Times New Roman" w:hAnsi="Times New Roman"/>
          <w:kern w:val="0"/>
          <w:sz w:val="24"/>
        </w:rPr>
        <w:t>随着PRAV作用浓度的增加，A549细胞中Bax的表达逐渐升高 ，而Bcl-2的表达逐渐降低。</w:t>
      </w:r>
    </w:p>
    <w:p>
      <w:pPr>
        <w:spacing w:line="360" w:lineRule="auto"/>
        <w:rPr>
          <w:rFonts w:eastAsia="黑体"/>
          <w:sz w:val="28"/>
          <w:szCs w:val="28"/>
        </w:rPr>
      </w:pPr>
      <w:r>
        <w:rPr>
          <w:rFonts w:eastAsia="黑体"/>
          <w:sz w:val="28"/>
          <w:szCs w:val="28"/>
        </w:rPr>
        <w:t>结论</w:t>
      </w:r>
    </w:p>
    <w:p>
      <w:pPr>
        <w:spacing w:line="360" w:lineRule="auto"/>
        <w:rPr>
          <w:sz w:val="24"/>
        </w:rPr>
      </w:pPr>
      <w:r>
        <w:rPr>
          <w:rFonts w:eastAsia="黑体"/>
          <w:sz w:val="28"/>
          <w:szCs w:val="28"/>
        </w:rPr>
        <w:t xml:space="preserve">    </w:t>
      </w:r>
      <w:r>
        <w:rPr>
          <w:sz w:val="24"/>
        </w:rPr>
        <w:t>PRAV对人肺腺癌A549细胞的增殖有抑制作用，其作用机制可能与凋亡基因Bax的表达升高、Bcl-2的表达下降有关。</w:t>
      </w:r>
    </w:p>
    <w:p>
      <w:pPr>
        <w:spacing w:line="360" w:lineRule="auto"/>
        <w:rPr>
          <w:sz w:val="24"/>
        </w:rPr>
      </w:pPr>
      <w:r>
        <w:rPr>
          <w:rFonts w:eastAsia="黑体"/>
          <w:sz w:val="28"/>
          <w:szCs w:val="28"/>
        </w:rPr>
        <w:t>关键词</w:t>
      </w:r>
      <w:bookmarkEnd w:id="2"/>
      <w:bookmarkEnd w:id="3"/>
      <w:r>
        <w:rPr>
          <w:rFonts w:eastAsia="黑体"/>
          <w:sz w:val="28"/>
          <w:szCs w:val="28"/>
        </w:rPr>
        <w:t xml:space="preserve"> </w:t>
      </w:r>
      <w:r>
        <w:rPr>
          <w:rFonts w:ascii="Times New Roman" w:hAnsi="Times New Roman"/>
          <w:kern w:val="0"/>
          <w:sz w:val="24"/>
        </w:rPr>
        <w:t>普伐他汀</w:t>
      </w:r>
      <w:r>
        <w:rPr>
          <w:sz w:val="24"/>
        </w:rPr>
        <w:t>；肺腺癌A549细胞；凋亡；Bax；Bcl-2</w:t>
      </w:r>
    </w:p>
    <w:p>
      <w:pPr>
        <w:spacing w:line="360" w:lineRule="auto"/>
        <w:jc w:val="center"/>
        <w:rPr>
          <w:sz w:val="30"/>
          <w:szCs w:val="30"/>
        </w:rPr>
      </w:pPr>
    </w:p>
    <w:p>
      <w:pPr>
        <w:spacing w:line="360" w:lineRule="auto"/>
        <w:jc w:val="center"/>
        <w:rPr>
          <w:sz w:val="30"/>
          <w:szCs w:val="30"/>
        </w:rPr>
      </w:pPr>
    </w:p>
    <w:p>
      <w:pPr>
        <w:spacing w:line="360" w:lineRule="auto"/>
        <w:jc w:val="center"/>
        <w:rPr>
          <w:sz w:val="30"/>
          <w:szCs w:val="30"/>
        </w:rPr>
      </w:pPr>
    </w:p>
    <w:p>
      <w:pPr>
        <w:spacing w:line="360" w:lineRule="auto"/>
        <w:rPr>
          <w:sz w:val="30"/>
          <w:szCs w:val="30"/>
        </w:rPr>
      </w:pPr>
    </w:p>
    <w:p>
      <w:pPr>
        <w:spacing w:line="360" w:lineRule="auto"/>
        <w:jc w:val="center"/>
        <w:rPr>
          <w:sz w:val="30"/>
          <w:szCs w:val="30"/>
        </w:rPr>
      </w:pPr>
    </w:p>
    <w:p>
      <w:pPr>
        <w:spacing w:line="360" w:lineRule="auto"/>
        <w:jc w:val="center"/>
        <w:rPr>
          <w:sz w:val="30"/>
          <w:szCs w:val="30"/>
        </w:rPr>
      </w:pPr>
    </w:p>
    <w:p>
      <w:pPr>
        <w:spacing w:line="360" w:lineRule="auto"/>
        <w:jc w:val="center"/>
        <w:rPr>
          <w:sz w:val="30"/>
          <w:szCs w:val="30"/>
        </w:rPr>
      </w:pPr>
    </w:p>
    <w:p>
      <w:pPr>
        <w:spacing w:line="360" w:lineRule="auto"/>
        <w:jc w:val="center"/>
        <w:rPr>
          <w:sz w:val="30"/>
          <w:szCs w:val="30"/>
        </w:rPr>
      </w:pPr>
    </w:p>
    <w:p>
      <w:pPr>
        <w:spacing w:line="360" w:lineRule="auto"/>
        <w:jc w:val="center"/>
        <w:rPr>
          <w:sz w:val="30"/>
          <w:szCs w:val="30"/>
        </w:rPr>
      </w:pPr>
      <w:bookmarkStart w:id="4" w:name="_GoBack"/>
      <w:bookmarkEnd w:id="4"/>
    </w:p>
    <w:p>
      <w:pPr>
        <w:pStyle w:val="2"/>
        <w:spacing w:after="0" w:line="360" w:lineRule="auto"/>
        <w:jc w:val="center"/>
        <w:rPr>
          <w:rFonts w:ascii="Times New Roman" w:hAnsi="Times New Roman"/>
          <w:b/>
          <w:sz w:val="32"/>
        </w:rPr>
      </w:pPr>
      <w:r>
        <w:rPr>
          <w:rFonts w:ascii="Times New Roman" w:hAnsi="Times New Roman"/>
          <w:b/>
          <w:sz w:val="32"/>
        </w:rPr>
        <w:t>Effect of Pravastatin on Apoptosis in Human Lung Adenocarcinoma Cell Line A549</w:t>
      </w:r>
    </w:p>
    <w:p>
      <w:pPr>
        <w:spacing w:line="360" w:lineRule="auto"/>
        <w:jc w:val="center"/>
        <w:rPr>
          <w:b/>
          <w:bCs/>
          <w:sz w:val="30"/>
          <w:szCs w:val="30"/>
        </w:rPr>
      </w:pPr>
      <w:r>
        <w:rPr>
          <w:b/>
          <w:bCs/>
          <w:sz w:val="30"/>
          <w:szCs w:val="30"/>
        </w:rPr>
        <w:t>Abstract</w:t>
      </w:r>
    </w:p>
    <w:p>
      <w:pPr>
        <w:spacing w:line="360" w:lineRule="auto"/>
        <w:rPr>
          <w:b/>
          <w:sz w:val="28"/>
          <w:szCs w:val="28"/>
        </w:rPr>
      </w:pPr>
      <w:r>
        <w:rPr>
          <w:b/>
          <w:sz w:val="28"/>
          <w:szCs w:val="28"/>
        </w:rPr>
        <w:t>Background</w:t>
      </w:r>
    </w:p>
    <w:p>
      <w:pPr>
        <w:pStyle w:val="2"/>
        <w:spacing w:after="0" w:line="360" w:lineRule="auto"/>
        <w:rPr>
          <w:rFonts w:ascii="Times New Roman" w:hAnsi="Times New Roman"/>
          <w:kern w:val="0"/>
          <w:sz w:val="24"/>
          <w:szCs w:val="21"/>
        </w:rPr>
      </w:pPr>
      <w:r>
        <w:rPr>
          <w:rFonts w:ascii="Times New Roman" w:hAnsi="Times New Roman"/>
          <w:kern w:val="0"/>
          <w:sz w:val="24"/>
          <w:szCs w:val="21"/>
        </w:rPr>
        <w:t xml:space="preserve">    Malignant tumor (malignant tumor, MT)</w:t>
      </w:r>
      <w:r>
        <w:rPr>
          <w:rFonts w:ascii="Times New Roman" w:hAnsi="Times New Roman"/>
          <w:kern w:val="0"/>
          <w:sz w:val="24"/>
        </w:rPr>
        <w:t xml:space="preserve"> </w:t>
      </w:r>
      <w:r>
        <w:rPr>
          <w:rFonts w:ascii="Times New Roman" w:hAnsi="Times New Roman"/>
          <w:kern w:val="0"/>
          <w:sz w:val="24"/>
          <w:szCs w:val="21"/>
        </w:rPr>
        <w:t>is a disease characterized by abnormal cell differentiation, proliferation, and loss of cell growth control. In recent years all over the world, MT cases related with environment pollution and unhealthy lifestyle has been growing incresingly, and lung cancer has become the first of MT death causes in China, accounting for 22.7% of all. In addition, study of cancer epidemiology finds that with the popularity of smoking since the 1920s, the incidence and mortality of lung cancer has begun to rise and will continue in the future. Currently, the most common clinical type of lung cancer is non-small cell lung cancer (non-small cell lung cancer, NLCSC), which accounts for 80% of all lung cancers. From the end of the 20-century, the incidence of Lung adenocarcinoma, (AC), one kind of NLCSC lung cancer, has been increasing, and it has replaced squamous cell lung carcinoma (SCC) to become the most common lung cancer pathologic type. AC, because of its long incubation period, it cannot be diagnosed until it develops to be an advanced cancer, and in recent years with the gradually increasing pressure of life, the incidence of end-stage AC appears obviously as a trend, which attracts the attention of the whole academic world. Therefore, looking for a safe and effective drug to treat advanced AC is of great clinical significance.</w:t>
      </w:r>
    </w:p>
    <w:p>
      <w:pPr>
        <w:spacing w:line="360" w:lineRule="auto"/>
        <w:rPr>
          <w:b/>
          <w:sz w:val="28"/>
          <w:szCs w:val="28"/>
        </w:rPr>
      </w:pPr>
      <w:r>
        <w:rPr>
          <w:b/>
          <w:sz w:val="28"/>
          <w:szCs w:val="28"/>
        </w:rPr>
        <w:t>Objective</w:t>
      </w:r>
    </w:p>
    <w:p>
      <w:pPr>
        <w:pStyle w:val="2"/>
        <w:spacing w:after="0" w:line="360" w:lineRule="auto"/>
        <w:rPr>
          <w:rFonts w:ascii="Times New Roman" w:hAnsi="Times New Roman"/>
          <w:kern w:val="0"/>
          <w:sz w:val="24"/>
          <w:szCs w:val="21"/>
        </w:rPr>
      </w:pPr>
      <w:r>
        <w:rPr>
          <w:rFonts w:ascii="Times New Roman" w:hAnsi="Times New Roman"/>
          <w:kern w:val="0"/>
          <w:sz w:val="24"/>
          <w:szCs w:val="21"/>
        </w:rPr>
        <w:t xml:space="preserve">    This experimental study aims at preliminary exploration and analysis of effect of pravastatin (pravastatin, prav) on apoptosis of human lung adenocarcinoma A549 cells and effect of prav of Bax and Bcl-2 in A549 cell apoptosis, to explore the possible anti-tumor mechanism, explore the optimal drug concentration, and offer a solid theoretical basis for statins in lung cancer prevention and treatment of clinical application.</w:t>
      </w:r>
    </w:p>
    <w:p>
      <w:pPr>
        <w:spacing w:line="360" w:lineRule="auto"/>
        <w:rPr>
          <w:b/>
          <w:sz w:val="28"/>
          <w:szCs w:val="28"/>
        </w:rPr>
      </w:pPr>
      <w:r>
        <w:rPr>
          <w:b/>
          <w:sz w:val="28"/>
          <w:szCs w:val="28"/>
        </w:rPr>
        <w:t>Methods</w:t>
      </w:r>
    </w:p>
    <w:p>
      <w:pPr>
        <w:pStyle w:val="2"/>
        <w:spacing w:after="0" w:line="360" w:lineRule="auto"/>
        <w:rPr>
          <w:rFonts w:ascii="Times New Roman" w:hAnsi="Times New Roman"/>
          <w:kern w:val="0"/>
          <w:sz w:val="24"/>
          <w:szCs w:val="21"/>
        </w:rPr>
      </w:pPr>
      <w:r>
        <w:rPr>
          <w:rFonts w:ascii="Times New Roman" w:hAnsi="Times New Roman"/>
          <w:kern w:val="0"/>
          <w:sz w:val="24"/>
          <w:szCs w:val="21"/>
        </w:rPr>
        <w:t xml:space="preserve">    1．First, cultivate human lung adenocarcinoma cells A549 in vitro according to the conventional way. Then observe the influence of prav groups with different concentrations (0 umol / L, 20 umol / L, 40 umol / L, 80 umol / L, 160umol/L) and different time groups (24 h, 48 h, 72 h) on cell proliferation using methyl thiazolyl tetrazolium (incubated a colorimetric assay and MTT method), so as to select the appropriate concentration of drug and appropriate action time. Thirdly, according to the results of MTT, set control group and the experimental group (0 umol/L, 40 umol/L, 80 umol/L, 160 umol/L).</w:t>
      </w:r>
    </w:p>
    <w:p>
      <w:pPr>
        <w:pStyle w:val="2"/>
        <w:spacing w:after="0" w:line="360" w:lineRule="auto"/>
        <w:ind w:firstLine="240" w:firstLineChars="100"/>
        <w:rPr>
          <w:rFonts w:ascii="Times New Roman" w:hAnsi="Times New Roman"/>
          <w:kern w:val="0"/>
          <w:sz w:val="24"/>
          <w:szCs w:val="21"/>
        </w:rPr>
      </w:pPr>
      <w:r>
        <w:rPr>
          <w:rFonts w:ascii="Times New Roman" w:hAnsi="Times New Roman"/>
          <w:kern w:val="0"/>
          <w:sz w:val="24"/>
          <w:szCs w:val="21"/>
        </w:rPr>
        <w:t xml:space="preserve">  2．Detect the apoptotic rate of A549 cells in each group by flow cytometry (flow cytometry, FCM).</w:t>
      </w:r>
    </w:p>
    <w:p>
      <w:pPr>
        <w:pStyle w:val="2"/>
        <w:spacing w:after="0" w:line="360" w:lineRule="auto"/>
        <w:ind w:firstLine="240" w:firstLineChars="100"/>
        <w:rPr>
          <w:rFonts w:ascii="Times New Roman" w:hAnsi="Times New Roman"/>
          <w:kern w:val="0"/>
          <w:sz w:val="24"/>
          <w:szCs w:val="21"/>
        </w:rPr>
      </w:pPr>
      <w:r>
        <w:rPr>
          <w:rFonts w:ascii="Times New Roman" w:hAnsi="Times New Roman"/>
          <w:kern w:val="0"/>
          <w:sz w:val="24"/>
          <w:szCs w:val="21"/>
        </w:rPr>
        <w:t xml:space="preserve">  3．Detect the rate of protein expression of Bax and Bcl-2 in A549 cells by blot Western method.</w:t>
      </w:r>
    </w:p>
    <w:p>
      <w:pPr>
        <w:spacing w:line="360" w:lineRule="auto"/>
        <w:rPr>
          <w:b/>
          <w:sz w:val="28"/>
          <w:szCs w:val="28"/>
        </w:rPr>
      </w:pPr>
      <w:r>
        <w:rPr>
          <w:b/>
          <w:sz w:val="28"/>
          <w:szCs w:val="28"/>
        </w:rPr>
        <w:t>Results</w:t>
      </w:r>
    </w:p>
    <w:p>
      <w:pPr>
        <w:pStyle w:val="2"/>
        <w:spacing w:after="0" w:line="360" w:lineRule="auto"/>
        <w:ind w:firstLine="240" w:firstLineChars="100"/>
        <w:rPr>
          <w:rFonts w:ascii="Times New Roman" w:hAnsi="Times New Roman"/>
          <w:kern w:val="0"/>
          <w:sz w:val="24"/>
          <w:szCs w:val="21"/>
        </w:rPr>
      </w:pPr>
      <w:r>
        <w:rPr>
          <w:rFonts w:ascii="Times New Roman" w:hAnsi="Times New Roman"/>
          <w:kern w:val="0"/>
          <w:sz w:val="24"/>
          <w:szCs w:val="21"/>
        </w:rPr>
        <w:t xml:space="preserve">  1．MTT results showes that different concentrations of pravastatin on human lung adenocarcinoma cell line A549 24h, 48h, 72h after the cell proliferation inhibition rates are significantly enhanced(</w:t>
      </w:r>
      <w:r>
        <w:rPr>
          <w:rFonts w:ascii="Times New Roman" w:hAnsi="Times New Roman"/>
          <w:i/>
          <w:kern w:val="0"/>
          <w:sz w:val="24"/>
          <w:szCs w:val="21"/>
        </w:rPr>
        <w:t>P</w:t>
      </w:r>
      <w:r>
        <w:rPr>
          <w:rFonts w:ascii="Times New Roman" w:hAnsi="Times New Roman"/>
          <w:kern w:val="0"/>
          <w:sz w:val="24"/>
          <w:szCs w:val="21"/>
        </w:rPr>
        <w:t xml:space="preserve"> &lt; 0.05)， different concentration compared with the control group at the same time, the inhibition is significantly enhanced (</w:t>
      </w:r>
      <w:r>
        <w:rPr>
          <w:rFonts w:ascii="Times New Roman" w:hAnsi="Times New Roman"/>
          <w:i/>
          <w:kern w:val="0"/>
          <w:sz w:val="24"/>
          <w:szCs w:val="21"/>
        </w:rPr>
        <w:t>P</w:t>
      </w:r>
      <w:r>
        <w:rPr>
          <w:rFonts w:ascii="Times New Roman" w:hAnsi="Times New Roman"/>
          <w:kern w:val="0"/>
          <w:sz w:val="24"/>
          <w:szCs w:val="21"/>
        </w:rPr>
        <w:t xml:space="preserve"> &lt; 0.05), also increased at the same concentration of 24h compared with the inhibition (</w:t>
      </w:r>
      <w:r>
        <w:rPr>
          <w:rFonts w:ascii="Times New Roman" w:hAnsi="Times New Roman"/>
          <w:i/>
          <w:kern w:val="0"/>
          <w:sz w:val="24"/>
          <w:szCs w:val="21"/>
        </w:rPr>
        <w:t>P</w:t>
      </w:r>
      <w:r>
        <w:rPr>
          <w:rFonts w:ascii="Times New Roman" w:hAnsi="Times New Roman"/>
          <w:kern w:val="0"/>
          <w:sz w:val="24"/>
          <w:szCs w:val="21"/>
        </w:rPr>
        <w:t xml:space="preserve"> &lt; 0.05); inhibition of PRAV on proliferation of human lung adenocarcinoma A549 cells, the inhibition showes dose effect relationship between concentration and time (</w:t>
      </w:r>
      <w:r>
        <w:rPr>
          <w:rFonts w:ascii="Times New Roman" w:hAnsi="Times New Roman"/>
          <w:i/>
          <w:kern w:val="0"/>
          <w:sz w:val="24"/>
          <w:szCs w:val="21"/>
        </w:rPr>
        <w:t xml:space="preserve">P </w:t>
      </w:r>
      <w:r>
        <w:rPr>
          <w:rFonts w:ascii="Times New Roman" w:hAnsi="Times New Roman"/>
          <w:kern w:val="0"/>
          <w:sz w:val="24"/>
          <w:szCs w:val="21"/>
        </w:rPr>
        <w:t>&lt; 0.05).</w:t>
      </w:r>
    </w:p>
    <w:p>
      <w:pPr>
        <w:pStyle w:val="2"/>
        <w:spacing w:after="0" w:line="360" w:lineRule="auto"/>
        <w:ind w:firstLine="240" w:firstLineChars="100"/>
        <w:rPr>
          <w:rFonts w:ascii="Times New Roman" w:hAnsi="Times New Roman"/>
          <w:kern w:val="0"/>
          <w:sz w:val="24"/>
          <w:szCs w:val="21"/>
        </w:rPr>
      </w:pPr>
      <w:r>
        <w:rPr>
          <w:rFonts w:ascii="Times New Roman" w:hAnsi="Times New Roman"/>
          <w:kern w:val="0"/>
          <w:sz w:val="24"/>
          <w:szCs w:val="21"/>
        </w:rPr>
        <w:t xml:space="preserve">  2．Flow cytometry assay showes 40, 80, 160μmol / L pravastatin group apoptosis rates of the cells after 48h respectively are significantly increased (</w:t>
      </w:r>
      <w:r>
        <w:rPr>
          <w:rFonts w:ascii="Times New Roman" w:hAnsi="Times New Roman"/>
          <w:i/>
          <w:kern w:val="0"/>
          <w:sz w:val="24"/>
          <w:szCs w:val="21"/>
        </w:rPr>
        <w:t>P</w:t>
      </w:r>
      <w:r>
        <w:rPr>
          <w:rFonts w:ascii="Times New Roman" w:hAnsi="Times New Roman"/>
          <w:kern w:val="0"/>
          <w:sz w:val="24"/>
          <w:szCs w:val="21"/>
        </w:rPr>
        <w:t xml:space="preserve"> &lt;0.05); with the increase of drug concentration PRAV, apoptosis rate of A549 cells gradually increases, and shows a dose-dependent manner (</w:t>
      </w:r>
      <w:r>
        <w:rPr>
          <w:rFonts w:ascii="Times New Roman" w:hAnsi="Times New Roman"/>
          <w:i/>
          <w:kern w:val="0"/>
          <w:sz w:val="24"/>
          <w:szCs w:val="21"/>
        </w:rPr>
        <w:t>p</w:t>
      </w:r>
      <w:r>
        <w:rPr>
          <w:rFonts w:ascii="Times New Roman" w:hAnsi="Times New Roman"/>
          <w:kern w:val="0"/>
          <w:sz w:val="24"/>
          <w:szCs w:val="21"/>
        </w:rPr>
        <w:t xml:space="preserve"> &lt;0.05).</w:t>
      </w:r>
    </w:p>
    <w:p>
      <w:pPr>
        <w:pStyle w:val="2"/>
        <w:spacing w:after="0" w:line="360" w:lineRule="auto"/>
        <w:ind w:firstLine="240" w:firstLineChars="100"/>
        <w:rPr>
          <w:rFonts w:ascii="Times New Roman" w:hAnsi="Times New Roman"/>
          <w:kern w:val="0"/>
          <w:sz w:val="24"/>
          <w:szCs w:val="21"/>
        </w:rPr>
      </w:pPr>
      <w:r>
        <w:rPr>
          <w:rFonts w:ascii="Times New Roman" w:hAnsi="Times New Roman"/>
          <w:kern w:val="0"/>
          <w:sz w:val="24"/>
          <w:szCs w:val="21"/>
        </w:rPr>
        <w:t xml:space="preserve">  3．Western blot results shows that with the increase of PRAV concentration, the expression of Bax A549 cells increases, while the expression of Bcl-2 gradually reduces.</w:t>
      </w:r>
    </w:p>
    <w:p>
      <w:pPr>
        <w:spacing w:line="360" w:lineRule="auto"/>
        <w:rPr>
          <w:b/>
          <w:sz w:val="28"/>
          <w:szCs w:val="28"/>
        </w:rPr>
      </w:pPr>
      <w:r>
        <w:rPr>
          <w:b/>
          <w:sz w:val="28"/>
          <w:szCs w:val="28"/>
        </w:rPr>
        <w:t>Conclusions</w:t>
      </w:r>
    </w:p>
    <w:p>
      <w:pPr>
        <w:pStyle w:val="2"/>
        <w:spacing w:after="0" w:line="360" w:lineRule="auto"/>
        <w:rPr>
          <w:rFonts w:ascii="Times New Roman" w:hAnsi="Times New Roman"/>
          <w:kern w:val="0"/>
          <w:sz w:val="24"/>
          <w:szCs w:val="21"/>
        </w:rPr>
      </w:pPr>
      <w:r>
        <w:rPr>
          <w:rFonts w:ascii="Times New Roman" w:hAnsi="Times New Roman"/>
          <w:kern w:val="0"/>
          <w:sz w:val="24"/>
          <w:szCs w:val="28"/>
        </w:rPr>
        <w:t xml:space="preserve">    </w:t>
      </w:r>
      <w:r>
        <w:rPr>
          <w:rFonts w:ascii="Times New Roman" w:hAnsi="Times New Roman"/>
          <w:kern w:val="0"/>
          <w:sz w:val="24"/>
          <w:szCs w:val="21"/>
        </w:rPr>
        <w:t xml:space="preserve">PRAV has an inhibitory effect on proliferation of human lung adenocarcinoma A549 cells. Its mechanism may be related to the increasing Bax apoptosis gene expression, while the expression of Bcl-2 gradually reduces. </w:t>
      </w:r>
    </w:p>
    <w:p>
      <w:pPr>
        <w:spacing w:line="360" w:lineRule="auto"/>
        <w:rPr>
          <w:b/>
          <w:sz w:val="28"/>
          <w:szCs w:val="28"/>
        </w:rPr>
      </w:pPr>
      <w:r>
        <w:rPr>
          <w:b/>
          <w:sz w:val="28"/>
          <w:szCs w:val="28"/>
        </w:rPr>
        <w:t xml:space="preserve">Key words </w:t>
      </w:r>
      <w:r>
        <w:rPr>
          <w:kern w:val="0"/>
          <w:sz w:val="24"/>
          <w:szCs w:val="21"/>
        </w:rPr>
        <w:t>lung adenocarcinoma A549 cells；PRAV；apoptosis；Bax； Bcl-2</w:t>
      </w:r>
    </w:p>
    <w:p>
      <w:pPr>
        <w:spacing w:line="360" w:lineRule="auto"/>
        <w:rPr>
          <w:rFonts w:eastAsia="黑体"/>
          <w:sz w:val="32"/>
          <w:szCs w:val="32"/>
        </w:rPr>
      </w:pPr>
    </w:p>
    <w:p>
      <w:pPr>
        <w:spacing w:line="360" w:lineRule="auto"/>
        <w:jc w:val="center"/>
        <w:rPr>
          <w:rFonts w:eastAsia="黑体"/>
          <w:sz w:val="32"/>
          <w:szCs w:val="32"/>
        </w:rPr>
      </w:pPr>
    </w:p>
    <w:p>
      <w:pPr>
        <w:spacing w:line="360" w:lineRule="auto"/>
        <w:jc w:val="center"/>
        <w:rPr>
          <w:rFonts w:eastAsia="黑体"/>
          <w:sz w:val="32"/>
          <w:szCs w:val="32"/>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447A4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link w:val="5"/>
    <w:uiPriority w:val="0"/>
    <w:pPr>
      <w:spacing w:after="120"/>
    </w:pPr>
    <w:rPr>
      <w:rFonts w:ascii="Calibri" w:hAnsi="Calibri"/>
      <w:szCs w:val="22"/>
    </w:rPr>
  </w:style>
  <w:style w:type="character" w:customStyle="1" w:styleId="5">
    <w:name w:val="正文文本 Char"/>
    <w:basedOn w:val="3"/>
    <w:link w:val="2"/>
    <w:qFormat/>
    <w:locked/>
    <w:uiPriority w:val="99"/>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2016-05-11T02:13:02Z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