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3B" w:rsidRDefault="000D0A3B" w:rsidP="000D0A3B">
      <w:pPr>
        <w:widowControl/>
        <w:shd w:val="clear" w:color="auto" w:fill="FFFFFF"/>
        <w:spacing w:line="540" w:lineRule="atLeast"/>
        <w:jc w:val="left"/>
        <w:rPr>
          <w:rFonts w:ascii="仿宋_GB2312" w:hAnsi="仿宋_GB2312"/>
        </w:rPr>
      </w:pPr>
      <w:r>
        <w:rPr>
          <w:rFonts w:ascii="仿宋_GB2312" w:hAnsi="仿宋_GB2312"/>
        </w:rPr>
        <w:t>附件1</w:t>
      </w:r>
    </w:p>
    <w:p w:rsidR="000D0A3B" w:rsidRDefault="000D0A3B" w:rsidP="000D0A3B">
      <w:pPr>
        <w:widowControl/>
        <w:shd w:val="clear" w:color="auto" w:fill="FFFFFF"/>
        <w:spacing w:line="540" w:lineRule="atLeast"/>
        <w:ind w:firstLine="645"/>
        <w:jc w:val="center"/>
        <w:rPr>
          <w:rFonts w:ascii="仿宋_GB2312" w:hAnsi="仿宋_GB2312"/>
          <w:b/>
          <w:bCs/>
        </w:rPr>
      </w:pPr>
      <w:r>
        <w:rPr>
          <w:rFonts w:ascii="宋体" w:eastAsia="宋体" w:hAnsi="宋体" w:cs="宋体" w:hint="eastAsia"/>
          <w:b/>
          <w:bCs/>
        </w:rPr>
        <w:t>河南省成人高等教育在线开放课程建设标准（试行）</w:t>
      </w:r>
    </w:p>
    <w:p w:rsidR="000D0A3B" w:rsidRDefault="000D0A3B" w:rsidP="000D0A3B">
      <w:pPr>
        <w:widowControl/>
        <w:shd w:val="clear" w:color="auto" w:fill="FFFFFF"/>
        <w:spacing w:line="540" w:lineRule="atLeast"/>
        <w:ind w:firstLine="645"/>
        <w:jc w:val="center"/>
        <w:rPr>
          <w:rFonts w:ascii="仿宋_GB2312" w:hAnsi="仿宋_GB2312"/>
        </w:rPr>
      </w:pPr>
      <w:r>
        <w:rPr>
          <w:rFonts w:ascii="仿宋_GB2312" w:hAnsi="仿宋_GB2312"/>
        </w:rPr>
        <w:t xml:space="preserve"> </w:t>
      </w:r>
    </w:p>
    <w:p w:rsidR="000D0A3B" w:rsidRDefault="000D0A3B" w:rsidP="000D0A3B">
      <w:pPr>
        <w:widowControl/>
        <w:shd w:val="clear" w:color="auto" w:fill="FFFFFF"/>
        <w:spacing w:line="540" w:lineRule="atLeast"/>
        <w:jc w:val="left"/>
        <w:rPr>
          <w:rFonts w:eastAsia="宋体" w:hAnsi="宋体"/>
          <w:sz w:val="21"/>
          <w:szCs w:val="21"/>
        </w:rPr>
      </w:pPr>
      <w:r>
        <w:rPr>
          <w:rFonts w:ascii="仿宋_GB2312" w:hAnsi="仿宋_GB2312"/>
        </w:rPr>
        <w:t xml:space="preserve">  </w:t>
      </w:r>
      <w:r>
        <w:rPr>
          <w:rFonts w:ascii="宋体" w:eastAsia="宋体" w:hAnsi="宋体" w:hint="eastAsia"/>
          <w:sz w:val="21"/>
          <w:szCs w:val="21"/>
        </w:rPr>
        <w:t>为规范成人教育在线开发课程资源的建设规范化、标准化和高效化，提高在线开发课程资源的质量，促进成人高等教育教学质量和水平，制定河南省成人教育在线开放课程资源建设标准</w:t>
      </w:r>
      <w:r>
        <w:rPr>
          <w:rFonts w:eastAsia="宋体" w:hAnsi="宋体" w:hint="eastAsia"/>
          <w:sz w:val="21"/>
          <w:szCs w:val="21"/>
        </w:rPr>
        <w:t>(</w:t>
      </w:r>
      <w:r>
        <w:rPr>
          <w:rFonts w:ascii="宋体" w:eastAsia="宋体" w:hAnsi="宋体" w:hint="eastAsia"/>
          <w:sz w:val="21"/>
          <w:szCs w:val="21"/>
        </w:rPr>
        <w:t>试行</w:t>
      </w:r>
      <w:r>
        <w:rPr>
          <w:rFonts w:eastAsia="宋体" w:hint="eastAsia"/>
          <w:sz w:val="21"/>
          <w:szCs w:val="21"/>
        </w:rPr>
        <w:t>)</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一、课程建设总体要求</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w:t>
      </w:r>
      <w:r>
        <w:rPr>
          <w:rFonts w:eastAsia="宋体" w:hint="eastAsia"/>
          <w:sz w:val="21"/>
          <w:szCs w:val="21"/>
        </w:rPr>
        <w:t>5-20</w:t>
      </w:r>
      <w:r>
        <w:rPr>
          <w:rFonts w:ascii="宋体" w:eastAsia="宋体" w:hAnsi="宋体" w:hint="eastAsia"/>
          <w:sz w:val="21"/>
          <w:szCs w:val="21"/>
        </w:rPr>
        <w:t>分钟为宜。每门课程应有负责人介绍、课程介绍、教学大纲、预备知识、教学辅导、参考资料、考核方式、在线作业、在线题库和在线答疑等。课程设置应与本校课堂教学的要求相当。</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成人教育在线开放课程应能够覆盖该课程所有知识点和岗位技能点，应依据技术领域和职业岗位（群）的任职要求，参照相关职业资格标准，从职业岗位能力分析出发，基于工作过程系统等先进理念开发课程体系和改革教学内容，确保应用型人才培养目标的实现。课程资源应力求丰富多样，在数量和类型上大大超出结构化课程所调用的资源范围，实现资源冗余，以方便教师自主搭建课程和学生拓展学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w:t>
      </w:r>
      <w:r>
        <w:rPr>
          <w:rFonts w:ascii="宋体" w:eastAsia="宋体" w:hAnsi="宋体" w:hint="eastAsia"/>
          <w:sz w:val="21"/>
          <w:szCs w:val="21"/>
        </w:rPr>
        <w:lastRenderedPageBreak/>
        <w:t>的需求。开展在线学习与课堂教学相结合、翻转课堂等多种方式的课堂教学模式，优先支持具有混合式学习等改革实践经验的课程。</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教学活动与评价。要重视学习任务与活动设计，积极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建立多元化学习评价体系，探索线上和线下融合，过程性评价与终结性评价相结合的多元化考核评价模式，促进学生自主性学习、过程性学习和体验式学习。课程成绩由过程性考核和终结性考核综合评定。</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教学效果与影响。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充分发挥课程共享作用，推进在线开放课程学分认定和学分管理制度创新。支持各高校之间在合作、共赢、协议的基础上实现在线开放共享课程的互认。课程的初始学分由推荐该课程的高校设定，其它高校可在双方协议的基础上，根据本校专业设置和课程学分设置标准自行认定学分。</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团队支持与服务。课程建设负责人应为高校正式聘用，具有丰富的教学经验和较高的学术造诣的教师，课程组成员均在教学一线长期承担本课程教学任务。支持和鼓励教学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6.</w:t>
      </w:r>
      <w:r>
        <w:rPr>
          <w:rFonts w:ascii="宋体" w:eastAsia="宋体" w:hAnsi="宋体" w:hint="eastAsia"/>
          <w:sz w:val="21"/>
          <w:szCs w:val="21"/>
        </w:rPr>
        <w:t>信息安全及知识产权保障。严格遵守国家网络与信息安全管理规范，依法依规开展教学活动，实施对课程内容、讨论内容、学习过程内容的有效监管，防范和及时制止网络有害信</w:t>
      </w:r>
      <w:r>
        <w:rPr>
          <w:rFonts w:ascii="宋体" w:eastAsia="宋体" w:hAnsi="宋体" w:hint="eastAsia"/>
          <w:sz w:val="21"/>
          <w:szCs w:val="21"/>
        </w:rPr>
        <w:lastRenderedPageBreak/>
        <w:t>息的传播。重视版权和知识产权问题，构建课程内容所使用的图片、音视频等素材应注明出处。相关高校、课程建设团队均须签订平等互利的知识产权保障协议，明确各方权利和义务，切实保障各方权益。</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二、课程视频制作规范</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（一）视频内容</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屏幕图像的构图合理，画面主体突出。人像及肢体动作以及配合讲授选用的板书、画板、教具实物、模型和实验设备等均不能超出镜头所及范围。</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授课视频的的背景可采用彩色喷绘、电脑虚拟或现场实景等背景。背景的颜色、图案不易过多，应保持静态，画面应简洁、明快，有利于营造学习气氛。</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摄像镜头应保持与主讲教师目光平视的角度。主讲教师不应较长时间仰视或俯视。</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使用资料、图片、外景实拍、实验和表演等形象化教学手段，应符合教学内容要求，与讲授内容联系紧密，手段选用恰当。</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选用影视作品或自拍素材，应注明素材来源。影视作品或自拍素材中涉及人物访谈内容时，应加注人物介绍。</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6.</w:t>
      </w:r>
      <w:r>
        <w:rPr>
          <w:rFonts w:ascii="宋体" w:eastAsia="宋体" w:hAnsi="宋体" w:hint="eastAsia"/>
          <w:sz w:val="21"/>
          <w:szCs w:val="21"/>
        </w:rPr>
        <w:t>选用的资料、图片等素材画面应清楚，对于历史资料、图片应进行再加工。选用的资料、图片等素材应注明素材来源及原始信息（如字画的作品、生卒年月，影视片断的作品名称、创作年代等信息）。</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7.</w:t>
      </w:r>
      <w:r>
        <w:rPr>
          <w:rFonts w:ascii="宋体" w:eastAsia="宋体" w:hAnsi="宋体" w:hint="eastAsia"/>
          <w:sz w:val="21"/>
          <w:szCs w:val="21"/>
        </w:rPr>
        <w:t>动画的设计与使用，要与课程内容相贴切，能够发挥良好的教学效果。</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8.</w:t>
      </w:r>
      <w:r>
        <w:rPr>
          <w:rFonts w:ascii="宋体" w:eastAsia="宋体" w:hAnsi="宋体" w:hint="eastAsia"/>
          <w:sz w:val="21"/>
          <w:szCs w:val="21"/>
        </w:rPr>
        <w:t>动画的实现须流畅、合理、图像清晰，具有较强的可视性。</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（二）视频技术规格</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视频信号源</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）稳定性：全片图像同步性能稳定，无失步现象，图像无抖动跳跃，色彩无突变，编辑点处图像稳定。</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）色调：白平衡正确，无明显偏色，多机拍摄的镜头衔接处无明显色差。</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）画幅：建议采用</w:t>
      </w:r>
      <w:r>
        <w:rPr>
          <w:rFonts w:eastAsia="宋体" w:hint="eastAsia"/>
          <w:sz w:val="21"/>
          <w:szCs w:val="21"/>
        </w:rPr>
        <w:t>16:9</w:t>
      </w:r>
      <w:r>
        <w:rPr>
          <w:rFonts w:ascii="宋体" w:eastAsia="宋体" w:hAnsi="宋体" w:hint="eastAsia"/>
          <w:sz w:val="21"/>
          <w:szCs w:val="21"/>
        </w:rPr>
        <w:t>，</w:t>
      </w:r>
      <w:r>
        <w:rPr>
          <w:rFonts w:eastAsia="宋体" w:hint="eastAsia"/>
          <w:sz w:val="21"/>
          <w:szCs w:val="21"/>
        </w:rPr>
        <w:t>720p</w:t>
      </w:r>
      <w:r>
        <w:rPr>
          <w:rFonts w:ascii="宋体" w:eastAsia="宋体" w:hAnsi="宋体" w:hint="eastAsia"/>
          <w:sz w:val="21"/>
          <w:szCs w:val="21"/>
        </w:rPr>
        <w:t>或</w:t>
      </w:r>
      <w:r>
        <w:rPr>
          <w:rFonts w:eastAsia="宋体" w:hint="eastAsia"/>
          <w:sz w:val="21"/>
          <w:szCs w:val="21"/>
        </w:rPr>
        <w:t>1080p</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lastRenderedPageBreak/>
        <w:t xml:space="preserve">  </w:t>
      </w:r>
      <w:r>
        <w:rPr>
          <w:rFonts w:eastAsia="宋体" w:hAnsi="宋体" w:hint="eastAsia"/>
          <w:sz w:val="21"/>
          <w:szCs w:val="21"/>
        </w:rPr>
        <w:t>2.</w:t>
      </w:r>
      <w:r>
        <w:rPr>
          <w:rFonts w:ascii="宋体" w:eastAsia="宋体" w:hAnsi="宋体" w:hint="eastAsia"/>
          <w:sz w:val="21"/>
          <w:szCs w:val="21"/>
        </w:rPr>
        <w:t>音频信号源</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）声道：教师讲授内容音频信号记录于第</w:t>
      </w:r>
      <w:r>
        <w:rPr>
          <w:rFonts w:eastAsia="宋体" w:hint="eastAsia"/>
          <w:sz w:val="21"/>
          <w:szCs w:val="21"/>
        </w:rPr>
        <w:t>1</w:t>
      </w:r>
      <w:r>
        <w:rPr>
          <w:rFonts w:ascii="宋体" w:eastAsia="宋体" w:hAnsi="宋体" w:hint="eastAsia"/>
          <w:sz w:val="21"/>
          <w:szCs w:val="21"/>
        </w:rPr>
        <w:t>声道，音乐、音效、同期声记录于第</w:t>
      </w:r>
      <w:r>
        <w:rPr>
          <w:rFonts w:eastAsia="宋体" w:hint="eastAsia"/>
          <w:sz w:val="21"/>
          <w:szCs w:val="21"/>
        </w:rPr>
        <w:t>2</w:t>
      </w:r>
      <w:r>
        <w:rPr>
          <w:rFonts w:ascii="宋体" w:eastAsia="宋体" w:hAnsi="宋体" w:hint="eastAsia"/>
          <w:sz w:val="21"/>
          <w:szCs w:val="21"/>
        </w:rPr>
        <w:t>声道，若有其他文字解说记录于第</w:t>
      </w:r>
      <w:r>
        <w:rPr>
          <w:rFonts w:eastAsia="宋体" w:hint="eastAsia"/>
          <w:sz w:val="21"/>
          <w:szCs w:val="21"/>
        </w:rPr>
        <w:t>3</w:t>
      </w:r>
      <w:r>
        <w:rPr>
          <w:rFonts w:ascii="宋体" w:eastAsia="宋体" w:hAnsi="宋体" w:hint="eastAsia"/>
          <w:sz w:val="21"/>
          <w:szCs w:val="21"/>
        </w:rPr>
        <w:t>声道</w:t>
      </w:r>
      <w:r>
        <w:rPr>
          <w:rFonts w:eastAsia="宋体" w:hint="eastAsia"/>
          <w:sz w:val="21"/>
          <w:szCs w:val="21"/>
        </w:rPr>
        <w:t>(</w:t>
      </w:r>
      <w:r>
        <w:rPr>
          <w:rFonts w:ascii="宋体" w:eastAsia="宋体" w:hAnsi="宋体" w:hint="eastAsia"/>
          <w:sz w:val="21"/>
          <w:szCs w:val="21"/>
        </w:rPr>
        <w:t>如录音设备无第</w:t>
      </w:r>
      <w:r>
        <w:rPr>
          <w:rFonts w:eastAsia="宋体" w:hint="eastAsia"/>
          <w:sz w:val="21"/>
          <w:szCs w:val="21"/>
        </w:rPr>
        <w:t>3</w:t>
      </w:r>
      <w:r>
        <w:rPr>
          <w:rFonts w:ascii="宋体" w:eastAsia="宋体" w:hAnsi="宋体" w:hint="eastAsia"/>
          <w:sz w:val="21"/>
          <w:szCs w:val="21"/>
        </w:rPr>
        <w:t>声道</w:t>
      </w:r>
      <w:r>
        <w:rPr>
          <w:rFonts w:eastAsia="宋体" w:hint="eastAsia"/>
          <w:sz w:val="21"/>
          <w:szCs w:val="21"/>
        </w:rPr>
        <w:t>,</w:t>
      </w:r>
      <w:r>
        <w:rPr>
          <w:rFonts w:ascii="宋体" w:eastAsia="宋体" w:hAnsi="宋体" w:hint="eastAsia"/>
          <w:sz w:val="21"/>
          <w:szCs w:val="21"/>
        </w:rPr>
        <w:t>则录于第</w:t>
      </w:r>
      <w:r>
        <w:rPr>
          <w:rFonts w:eastAsia="宋体" w:hint="eastAsia"/>
          <w:sz w:val="21"/>
          <w:szCs w:val="21"/>
        </w:rPr>
        <w:t>2</w:t>
      </w:r>
      <w:r>
        <w:rPr>
          <w:rFonts w:ascii="宋体" w:eastAsia="宋体" w:hAnsi="宋体" w:hint="eastAsia"/>
          <w:sz w:val="21"/>
          <w:szCs w:val="21"/>
        </w:rPr>
        <w:t>声道</w:t>
      </w:r>
      <w:r>
        <w:rPr>
          <w:rFonts w:eastAsia="宋体" w:hint="eastAsia"/>
          <w:sz w:val="21"/>
          <w:szCs w:val="21"/>
        </w:rPr>
        <w:t>)</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）声音和画面要求同步，无交流声或其他杂音等缺陷。</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）伴音清晰、饱满、圆润，无失真、噪声杂音干扰、音量忽大忽小现象。解说声与现场声无明显比例失调，解说声与背景音乐无明显比例失调。</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视频压缩格式及技术参数</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）视频压缩采用</w:t>
      </w:r>
      <w:r>
        <w:rPr>
          <w:rFonts w:eastAsia="宋体" w:hint="eastAsia"/>
          <w:sz w:val="21"/>
          <w:szCs w:val="21"/>
        </w:rPr>
        <w:t>H.264/AVC(MPEG-4Part10)</w:t>
      </w:r>
      <w:r>
        <w:rPr>
          <w:rFonts w:ascii="宋体" w:eastAsia="宋体" w:hAnsi="宋体" w:hint="eastAsia"/>
          <w:sz w:val="21"/>
          <w:szCs w:val="21"/>
        </w:rPr>
        <w:t>编码、使用二次编码、不包含字幕的</w:t>
      </w:r>
      <w:r>
        <w:rPr>
          <w:rFonts w:eastAsia="宋体" w:hint="eastAsia"/>
          <w:sz w:val="21"/>
          <w:szCs w:val="21"/>
        </w:rPr>
        <w:t>MP4</w:t>
      </w:r>
      <w:r>
        <w:rPr>
          <w:rFonts w:ascii="宋体" w:eastAsia="宋体" w:hAnsi="宋体" w:hint="eastAsia"/>
          <w:sz w:val="21"/>
          <w:szCs w:val="21"/>
        </w:rPr>
        <w:t>格式。</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）视频码流率：动态码流的最低码率不得低于</w:t>
      </w:r>
      <w:r>
        <w:rPr>
          <w:rFonts w:eastAsia="宋体" w:hint="eastAsia"/>
          <w:sz w:val="21"/>
          <w:szCs w:val="21"/>
        </w:rPr>
        <w:t>1024Kb</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）视频分辨率</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前期采用高清</w:t>
      </w:r>
      <w:r>
        <w:rPr>
          <w:rFonts w:eastAsia="宋体" w:hAnsi="宋体" w:hint="eastAsia"/>
          <w:sz w:val="21"/>
          <w:szCs w:val="21"/>
        </w:rPr>
        <w:t>16:9</w:t>
      </w:r>
      <w:r>
        <w:rPr>
          <w:rFonts w:ascii="宋体" w:eastAsia="宋体" w:hAnsi="宋体" w:hint="eastAsia"/>
          <w:sz w:val="21"/>
          <w:szCs w:val="21"/>
        </w:rPr>
        <w:t>拍摄，请设定为</w:t>
      </w:r>
      <w:r>
        <w:rPr>
          <w:rFonts w:eastAsia="宋体" w:hint="eastAsia"/>
          <w:sz w:val="21"/>
          <w:szCs w:val="21"/>
        </w:rPr>
        <w:t>1280</w:t>
      </w:r>
      <w:r>
        <w:rPr>
          <w:rFonts w:ascii="宋体" w:eastAsia="宋体" w:hAnsi="宋体" w:hint="eastAsia"/>
          <w:sz w:val="21"/>
          <w:szCs w:val="21"/>
        </w:rPr>
        <w:t>×</w:t>
      </w:r>
      <w:r>
        <w:rPr>
          <w:rFonts w:eastAsia="宋体" w:hint="eastAsia"/>
          <w:sz w:val="21"/>
          <w:szCs w:val="21"/>
        </w:rPr>
        <w:t>720</w:t>
      </w:r>
      <w:r>
        <w:rPr>
          <w:rFonts w:ascii="宋体" w:eastAsia="宋体" w:hAnsi="宋体" w:hint="eastAsia"/>
          <w:sz w:val="21"/>
          <w:szCs w:val="21"/>
        </w:rPr>
        <w:t>或</w:t>
      </w:r>
      <w:r>
        <w:rPr>
          <w:rFonts w:eastAsia="宋体" w:hint="eastAsia"/>
          <w:sz w:val="21"/>
          <w:szCs w:val="21"/>
        </w:rPr>
        <w:t>1920</w:t>
      </w:r>
      <w:r>
        <w:rPr>
          <w:rFonts w:ascii="宋体" w:eastAsia="宋体" w:hAnsi="宋体" w:hint="eastAsia"/>
          <w:sz w:val="21"/>
          <w:szCs w:val="21"/>
        </w:rPr>
        <w:t>×</w:t>
      </w:r>
      <w:r>
        <w:rPr>
          <w:rFonts w:eastAsia="宋体" w:hint="eastAsia"/>
          <w:sz w:val="21"/>
          <w:szCs w:val="21"/>
        </w:rPr>
        <w:t>1080</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）视频画幅宽高比</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视频画幅宽高比为</w:t>
      </w:r>
      <w:r>
        <w:rPr>
          <w:rFonts w:eastAsia="宋体" w:hAnsi="宋体" w:hint="eastAsia"/>
          <w:sz w:val="21"/>
          <w:szCs w:val="21"/>
        </w:rPr>
        <w:t>16:9</w:t>
      </w:r>
      <w:r>
        <w:rPr>
          <w:rFonts w:ascii="宋体" w:eastAsia="宋体" w:hAnsi="宋体" w:hint="eastAsia"/>
          <w:sz w:val="21"/>
          <w:szCs w:val="21"/>
        </w:rPr>
        <w:t>，分辨率设定为</w:t>
      </w:r>
      <w:r>
        <w:rPr>
          <w:rFonts w:eastAsia="宋体" w:hint="eastAsia"/>
          <w:sz w:val="21"/>
          <w:szCs w:val="21"/>
        </w:rPr>
        <w:t>1280</w:t>
      </w:r>
      <w:r>
        <w:rPr>
          <w:rFonts w:ascii="宋体" w:eastAsia="宋体" w:hAnsi="宋体" w:hint="eastAsia"/>
          <w:sz w:val="21"/>
          <w:szCs w:val="21"/>
        </w:rPr>
        <w:t>×</w:t>
      </w:r>
      <w:r>
        <w:rPr>
          <w:rFonts w:eastAsia="宋体" w:hint="eastAsia"/>
          <w:sz w:val="21"/>
          <w:szCs w:val="21"/>
        </w:rPr>
        <w:t>720</w:t>
      </w:r>
      <w:r>
        <w:rPr>
          <w:rFonts w:ascii="宋体" w:eastAsia="宋体" w:hAnsi="宋体" w:hint="eastAsia"/>
          <w:sz w:val="21"/>
          <w:szCs w:val="21"/>
        </w:rPr>
        <w:t>或</w:t>
      </w:r>
      <w:r>
        <w:rPr>
          <w:rFonts w:eastAsia="宋体" w:hint="eastAsia"/>
          <w:sz w:val="21"/>
          <w:szCs w:val="21"/>
        </w:rPr>
        <w:t>1920</w:t>
      </w:r>
      <w:r>
        <w:rPr>
          <w:rFonts w:ascii="宋体" w:eastAsia="宋体" w:hAnsi="宋体" w:hint="eastAsia"/>
          <w:sz w:val="21"/>
          <w:szCs w:val="21"/>
        </w:rPr>
        <w:t>×</w:t>
      </w:r>
      <w:r>
        <w:rPr>
          <w:rFonts w:eastAsia="宋体" w:hint="eastAsia"/>
          <w:sz w:val="21"/>
          <w:szCs w:val="21"/>
        </w:rPr>
        <w:t>1080</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）视频帧率为</w:t>
      </w:r>
      <w:r>
        <w:rPr>
          <w:rFonts w:eastAsia="宋体" w:hint="eastAsia"/>
          <w:sz w:val="21"/>
          <w:szCs w:val="21"/>
        </w:rPr>
        <w:t>25</w:t>
      </w:r>
      <w:r>
        <w:rPr>
          <w:rFonts w:ascii="宋体" w:eastAsia="宋体" w:hAnsi="宋体" w:hint="eastAsia"/>
          <w:sz w:val="21"/>
          <w:szCs w:val="21"/>
        </w:rPr>
        <w:t>帧</w:t>
      </w:r>
      <w:r>
        <w:rPr>
          <w:rFonts w:eastAsia="宋体" w:hint="eastAsia"/>
          <w:sz w:val="21"/>
          <w:szCs w:val="21"/>
        </w:rPr>
        <w:t>/</w:t>
      </w:r>
      <w:r>
        <w:rPr>
          <w:rFonts w:ascii="宋体" w:eastAsia="宋体" w:hAnsi="宋体" w:hint="eastAsia"/>
          <w:sz w:val="21"/>
          <w:szCs w:val="21"/>
        </w:rPr>
        <w:t>秒</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6</w:t>
      </w:r>
      <w:r>
        <w:rPr>
          <w:rFonts w:ascii="宋体" w:eastAsia="宋体" w:hAnsi="宋体" w:hint="eastAsia"/>
          <w:sz w:val="21"/>
          <w:szCs w:val="21"/>
        </w:rPr>
        <w:t>）扫描方式采用逐行扫描</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音频压缩格式及技术参数</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）音频压缩采用</w:t>
      </w:r>
      <w:r>
        <w:rPr>
          <w:rFonts w:eastAsia="宋体" w:hint="eastAsia"/>
          <w:sz w:val="21"/>
          <w:szCs w:val="21"/>
        </w:rPr>
        <w:t>AAC(MPEG4Part3)</w:t>
      </w:r>
      <w:r>
        <w:rPr>
          <w:rFonts w:ascii="宋体" w:eastAsia="宋体" w:hAnsi="宋体" w:hint="eastAsia"/>
          <w:sz w:val="21"/>
          <w:szCs w:val="21"/>
        </w:rPr>
        <w:t>格式</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）采样率</w:t>
      </w:r>
      <w:r>
        <w:rPr>
          <w:rFonts w:eastAsia="宋体" w:hint="eastAsia"/>
          <w:sz w:val="21"/>
          <w:szCs w:val="21"/>
        </w:rPr>
        <w:t>48KHz</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）音频码流率</w:t>
      </w:r>
      <w:r>
        <w:rPr>
          <w:rFonts w:eastAsia="宋体" w:hint="eastAsia"/>
          <w:sz w:val="21"/>
          <w:szCs w:val="21"/>
        </w:rPr>
        <w:t>128Kbps(</w:t>
      </w:r>
      <w:r>
        <w:rPr>
          <w:rFonts w:ascii="宋体" w:eastAsia="宋体" w:hAnsi="宋体" w:hint="eastAsia"/>
          <w:sz w:val="21"/>
          <w:szCs w:val="21"/>
        </w:rPr>
        <w:t>恒定</w:t>
      </w:r>
      <w:r>
        <w:rPr>
          <w:rFonts w:eastAsia="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）必须是双声道，必须做混音处理。</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封装</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视频采用</w:t>
      </w:r>
      <w:r>
        <w:rPr>
          <w:rFonts w:eastAsia="宋体" w:hAnsi="宋体" w:hint="eastAsia"/>
          <w:sz w:val="21"/>
          <w:szCs w:val="21"/>
        </w:rPr>
        <w:t>MP4</w:t>
      </w:r>
      <w:r>
        <w:rPr>
          <w:rFonts w:ascii="宋体" w:eastAsia="宋体" w:hAnsi="宋体" w:hint="eastAsia"/>
          <w:sz w:val="21"/>
          <w:szCs w:val="21"/>
        </w:rPr>
        <w:t>封装，单个视频文件小于</w:t>
      </w:r>
      <w:r>
        <w:rPr>
          <w:rFonts w:eastAsia="宋体" w:hint="eastAsia"/>
          <w:sz w:val="21"/>
          <w:szCs w:val="21"/>
        </w:rPr>
        <w:t>200MB</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字幕文件采用</w:t>
      </w:r>
      <w:r>
        <w:rPr>
          <w:rFonts w:eastAsia="宋体" w:hAnsi="宋体" w:hint="eastAsia"/>
          <w:sz w:val="21"/>
          <w:szCs w:val="21"/>
        </w:rPr>
        <w:t>SRT</w:t>
      </w:r>
      <w:r>
        <w:rPr>
          <w:rFonts w:ascii="宋体" w:eastAsia="宋体" w:hAnsi="宋体" w:hint="eastAsia"/>
          <w:sz w:val="21"/>
          <w:szCs w:val="21"/>
        </w:rPr>
        <w:t>格式，中英文字幕需分成两个</w:t>
      </w:r>
      <w:r>
        <w:rPr>
          <w:rFonts w:eastAsia="宋体" w:hint="eastAsia"/>
          <w:sz w:val="21"/>
          <w:szCs w:val="21"/>
        </w:rPr>
        <w:t>SRT</w:t>
      </w:r>
      <w:r>
        <w:rPr>
          <w:rFonts w:ascii="宋体" w:eastAsia="宋体" w:hAnsi="宋体" w:hint="eastAsia"/>
          <w:sz w:val="21"/>
          <w:szCs w:val="21"/>
        </w:rPr>
        <w:t>文件。</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（三）演示文稿（</w:t>
      </w:r>
      <w:r>
        <w:rPr>
          <w:rFonts w:eastAsia="宋体" w:hAnsi="宋体" w:hint="eastAsia"/>
          <w:sz w:val="21"/>
          <w:szCs w:val="21"/>
        </w:rPr>
        <w:t>PPT</w:t>
      </w:r>
      <w:r>
        <w:rPr>
          <w:rFonts w:ascii="宋体" w:eastAsia="宋体" w:hAnsi="宋体" w:hint="eastAsia"/>
          <w:sz w:val="21"/>
          <w:szCs w:val="21"/>
        </w:rPr>
        <w:t>）制作规范</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lastRenderedPageBreak/>
        <w:t xml:space="preserve">  </w:t>
      </w:r>
      <w:r>
        <w:rPr>
          <w:rFonts w:eastAsia="宋体" w:hAnsi="宋体" w:hint="eastAsia"/>
          <w:sz w:val="21"/>
          <w:szCs w:val="21"/>
        </w:rPr>
        <w:t>1.</w:t>
      </w:r>
      <w:r>
        <w:rPr>
          <w:rFonts w:ascii="宋体" w:eastAsia="宋体" w:hAnsi="宋体" w:hint="eastAsia"/>
          <w:sz w:val="21"/>
          <w:szCs w:val="21"/>
        </w:rPr>
        <w:t>制作原则</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）演示文稿（</w:t>
      </w:r>
      <w:r>
        <w:rPr>
          <w:rFonts w:eastAsia="宋体" w:hint="eastAsia"/>
          <w:sz w:val="21"/>
          <w:szCs w:val="21"/>
        </w:rPr>
        <w:t>PPT</w:t>
      </w:r>
      <w:r>
        <w:rPr>
          <w:rFonts w:ascii="宋体" w:eastAsia="宋体" w:hAnsi="宋体" w:hint="eastAsia"/>
          <w:sz w:val="21"/>
          <w:szCs w:val="21"/>
        </w:rPr>
        <w:t>）内容丰富，可集文字、图形、图像、声音以及视频等多种媒体元素于一体。</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）页面设置要求符合高清格式比例，幻灯片大小为“全屏显示</w:t>
      </w:r>
      <w:r>
        <w:rPr>
          <w:rFonts w:eastAsia="宋体" w:hint="eastAsia"/>
          <w:sz w:val="21"/>
          <w:szCs w:val="21"/>
        </w:rPr>
        <w:t>16</w:t>
      </w:r>
      <w:r>
        <w:rPr>
          <w:rFonts w:ascii="宋体" w:eastAsia="宋体" w:hAnsi="宋体" w:hint="eastAsia"/>
          <w:sz w:val="21"/>
          <w:szCs w:val="21"/>
        </w:rPr>
        <w:t>：</w:t>
      </w:r>
      <w:r>
        <w:rPr>
          <w:rFonts w:eastAsia="宋体" w:hint="eastAsia"/>
          <w:sz w:val="21"/>
          <w:szCs w:val="21"/>
        </w:rPr>
        <w:t>9</w:t>
      </w:r>
      <w:r>
        <w:rPr>
          <w:rFonts w:ascii="宋体" w:eastAsia="宋体" w:hAnsi="宋体" w:hint="eastAsia"/>
          <w:sz w:val="21"/>
          <w:szCs w:val="21"/>
        </w:rPr>
        <w:t>”。</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）整体效果应风格统一、色彩协调、美观大方。</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字体与字号</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字体与字号参照下表：</w:t>
      </w:r>
    </w:p>
    <w:tbl>
      <w:tblPr>
        <w:tblW w:w="8415" w:type="dxa"/>
        <w:jc w:val="center"/>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995"/>
        <w:gridCol w:w="1542"/>
        <w:gridCol w:w="1485"/>
        <w:gridCol w:w="1721"/>
        <w:gridCol w:w="1350"/>
        <w:gridCol w:w="1322"/>
      </w:tblGrid>
      <w:tr w:rsidR="000D0A3B" w:rsidTr="000D0A3B">
        <w:trPr>
          <w:trHeight w:val="285"/>
          <w:jc w:val="center"/>
        </w:trPr>
        <w:tc>
          <w:tcPr>
            <w:tcW w:w="995" w:type="dxa"/>
            <w:tcBorders>
              <w:top w:val="single" w:sz="12" w:space="0" w:color="000000"/>
              <w:left w:val="single" w:sz="12" w:space="0" w:color="000000"/>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类型</w:t>
            </w:r>
          </w:p>
        </w:tc>
        <w:tc>
          <w:tcPr>
            <w:tcW w:w="1542" w:type="dxa"/>
            <w:tcBorders>
              <w:top w:val="single" w:sz="12" w:space="0" w:color="000000"/>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大标题</w:t>
            </w:r>
          </w:p>
        </w:tc>
        <w:tc>
          <w:tcPr>
            <w:tcW w:w="1485" w:type="dxa"/>
            <w:tcBorders>
              <w:top w:val="single" w:sz="12" w:space="0" w:color="000000"/>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主讲信息</w:t>
            </w:r>
          </w:p>
        </w:tc>
        <w:tc>
          <w:tcPr>
            <w:tcW w:w="1721" w:type="dxa"/>
            <w:tcBorders>
              <w:top w:val="single" w:sz="12" w:space="0" w:color="000000"/>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一级标题</w:t>
            </w:r>
          </w:p>
        </w:tc>
        <w:tc>
          <w:tcPr>
            <w:tcW w:w="1350" w:type="dxa"/>
            <w:tcBorders>
              <w:top w:val="single" w:sz="12" w:space="0" w:color="000000"/>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正文</w:t>
            </w:r>
          </w:p>
        </w:tc>
        <w:tc>
          <w:tcPr>
            <w:tcW w:w="1322" w:type="dxa"/>
            <w:tcBorders>
              <w:top w:val="single" w:sz="12" w:space="0" w:color="000000"/>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字幕</w:t>
            </w:r>
          </w:p>
        </w:tc>
      </w:tr>
      <w:tr w:rsidR="000D0A3B" w:rsidTr="000D0A3B">
        <w:trPr>
          <w:trHeight w:val="285"/>
          <w:jc w:val="center"/>
        </w:trPr>
        <w:tc>
          <w:tcPr>
            <w:tcW w:w="995" w:type="dxa"/>
            <w:tcBorders>
              <w:top w:val="inset" w:sz="6" w:space="0" w:color="auto"/>
              <w:left w:val="single" w:sz="12" w:space="0" w:color="000000"/>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字体</w:t>
            </w:r>
          </w:p>
        </w:tc>
        <w:tc>
          <w:tcPr>
            <w:tcW w:w="154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大黑、时尚中黑、大隶书</w:t>
            </w:r>
          </w:p>
        </w:tc>
        <w:tc>
          <w:tcPr>
            <w:tcW w:w="1485"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黑体</w:t>
            </w:r>
          </w:p>
        </w:tc>
        <w:tc>
          <w:tcPr>
            <w:tcW w:w="1721"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黑体、魏碑、大宋</w:t>
            </w:r>
          </w:p>
        </w:tc>
        <w:tc>
          <w:tcPr>
            <w:tcW w:w="1350"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雅黑、中宋</w:t>
            </w:r>
          </w:p>
        </w:tc>
        <w:tc>
          <w:tcPr>
            <w:tcW w:w="132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雅黑</w:t>
            </w:r>
          </w:p>
        </w:tc>
      </w:tr>
      <w:tr w:rsidR="000D0A3B" w:rsidTr="000D0A3B">
        <w:trPr>
          <w:trHeight w:val="285"/>
          <w:jc w:val="center"/>
        </w:trPr>
        <w:tc>
          <w:tcPr>
            <w:tcW w:w="995" w:type="dxa"/>
            <w:tcBorders>
              <w:top w:val="inset" w:sz="6" w:space="0" w:color="auto"/>
              <w:left w:val="single" w:sz="12" w:space="0" w:color="000000"/>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字号</w:t>
            </w:r>
          </w:p>
        </w:tc>
        <w:tc>
          <w:tcPr>
            <w:tcW w:w="154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50</w:t>
            </w:r>
            <w:r>
              <w:rPr>
                <w:rFonts w:ascii="宋体" w:eastAsia="宋体" w:hAnsi="宋体" w:hint="eastAsia"/>
                <w:sz w:val="21"/>
                <w:szCs w:val="21"/>
              </w:rPr>
              <w:t>～</w:t>
            </w:r>
            <w:r>
              <w:rPr>
                <w:rFonts w:eastAsia="宋体" w:hint="eastAsia"/>
                <w:sz w:val="21"/>
                <w:szCs w:val="21"/>
              </w:rPr>
              <w:t>70</w:t>
            </w:r>
            <w:r>
              <w:rPr>
                <w:rFonts w:ascii="宋体" w:eastAsia="宋体" w:hAnsi="宋体" w:hint="eastAsia"/>
                <w:sz w:val="21"/>
                <w:szCs w:val="21"/>
              </w:rPr>
              <w:t>磅</w:t>
            </w:r>
          </w:p>
        </w:tc>
        <w:tc>
          <w:tcPr>
            <w:tcW w:w="1485"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36</w:t>
            </w:r>
            <w:r>
              <w:rPr>
                <w:rFonts w:ascii="宋体" w:eastAsia="宋体" w:hAnsi="宋体" w:hint="eastAsia"/>
                <w:sz w:val="21"/>
                <w:szCs w:val="21"/>
              </w:rPr>
              <w:t>～</w:t>
            </w:r>
            <w:r>
              <w:rPr>
                <w:rFonts w:eastAsia="宋体" w:hint="eastAsia"/>
                <w:sz w:val="21"/>
                <w:szCs w:val="21"/>
              </w:rPr>
              <w:t>40</w:t>
            </w:r>
            <w:r>
              <w:rPr>
                <w:rFonts w:ascii="宋体" w:eastAsia="宋体" w:hAnsi="宋体" w:hint="eastAsia"/>
                <w:sz w:val="21"/>
                <w:szCs w:val="21"/>
              </w:rPr>
              <w:t>磅</w:t>
            </w:r>
          </w:p>
        </w:tc>
        <w:tc>
          <w:tcPr>
            <w:tcW w:w="1721"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36</w:t>
            </w:r>
            <w:r>
              <w:rPr>
                <w:rFonts w:ascii="宋体" w:eastAsia="宋体" w:hAnsi="宋体" w:hint="eastAsia"/>
                <w:sz w:val="21"/>
                <w:szCs w:val="21"/>
              </w:rPr>
              <w:t>～</w:t>
            </w:r>
            <w:r>
              <w:rPr>
                <w:rFonts w:eastAsia="宋体" w:hint="eastAsia"/>
                <w:sz w:val="21"/>
                <w:szCs w:val="21"/>
              </w:rPr>
              <w:t>40</w:t>
            </w:r>
            <w:r>
              <w:rPr>
                <w:rFonts w:ascii="宋体" w:eastAsia="宋体" w:hAnsi="宋体" w:hint="eastAsia"/>
                <w:sz w:val="21"/>
                <w:szCs w:val="21"/>
              </w:rPr>
              <w:t>磅</w:t>
            </w:r>
          </w:p>
        </w:tc>
        <w:tc>
          <w:tcPr>
            <w:tcW w:w="1350"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24</w:t>
            </w:r>
            <w:r>
              <w:rPr>
                <w:rFonts w:ascii="宋体" w:eastAsia="宋体" w:hAnsi="宋体" w:hint="eastAsia"/>
                <w:sz w:val="21"/>
                <w:szCs w:val="21"/>
              </w:rPr>
              <w:t>～</w:t>
            </w:r>
            <w:r>
              <w:rPr>
                <w:rFonts w:eastAsia="宋体" w:hint="eastAsia"/>
                <w:sz w:val="21"/>
                <w:szCs w:val="21"/>
              </w:rPr>
              <w:t>32</w:t>
            </w:r>
            <w:r>
              <w:rPr>
                <w:rFonts w:ascii="宋体" w:eastAsia="宋体" w:hAnsi="宋体" w:hint="eastAsia"/>
                <w:sz w:val="21"/>
                <w:szCs w:val="21"/>
              </w:rPr>
              <w:t>磅</w:t>
            </w:r>
          </w:p>
        </w:tc>
        <w:tc>
          <w:tcPr>
            <w:tcW w:w="132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32</w:t>
            </w:r>
            <w:r>
              <w:rPr>
                <w:rFonts w:ascii="宋体" w:eastAsia="宋体" w:hAnsi="宋体" w:hint="eastAsia"/>
                <w:sz w:val="21"/>
                <w:szCs w:val="21"/>
              </w:rPr>
              <w:t>磅</w:t>
            </w:r>
          </w:p>
        </w:tc>
      </w:tr>
      <w:tr w:rsidR="000D0A3B" w:rsidTr="000D0A3B">
        <w:trPr>
          <w:trHeight w:val="285"/>
          <w:jc w:val="center"/>
        </w:trPr>
        <w:tc>
          <w:tcPr>
            <w:tcW w:w="995" w:type="dxa"/>
            <w:tcBorders>
              <w:top w:val="inset" w:sz="6" w:space="0" w:color="auto"/>
              <w:left w:val="single" w:sz="12" w:space="0" w:color="000000"/>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应用</w:t>
            </w:r>
          </w:p>
        </w:tc>
        <w:tc>
          <w:tcPr>
            <w:tcW w:w="154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上下左右居中</w:t>
            </w:r>
          </w:p>
        </w:tc>
        <w:tc>
          <w:tcPr>
            <w:tcW w:w="1485"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左右居中</w:t>
            </w:r>
          </w:p>
        </w:tc>
        <w:tc>
          <w:tcPr>
            <w:tcW w:w="1721"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左右居中</w:t>
            </w:r>
          </w:p>
        </w:tc>
        <w:tc>
          <w:tcPr>
            <w:tcW w:w="1350"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左对齐或居中</w:t>
            </w:r>
          </w:p>
        </w:tc>
        <w:tc>
          <w:tcPr>
            <w:tcW w:w="1322" w:type="dxa"/>
            <w:tcBorders>
              <w:top w:val="inset" w:sz="6" w:space="0" w:color="auto"/>
              <w:left w:val="inset" w:sz="6" w:space="0" w:color="auto"/>
              <w:bottom w:val="single" w:sz="12" w:space="0" w:color="000000"/>
              <w:right w:val="single" w:sz="12" w:space="0" w:color="000000"/>
            </w:tcBorders>
            <w:vAlign w:val="center"/>
            <w:hideMark/>
          </w:tcPr>
          <w:p w:rsidR="000D0A3B" w:rsidRDefault="000D0A3B">
            <w:pPr>
              <w:widowControl/>
              <w:jc w:val="center"/>
              <w:rPr>
                <w:rFonts w:eastAsia="宋体" w:hAnsi="宋体"/>
                <w:sz w:val="21"/>
                <w:szCs w:val="21"/>
              </w:rPr>
            </w:pPr>
            <w:r>
              <w:rPr>
                <w:rFonts w:eastAsia="宋体" w:hAnsi="宋体" w:hint="eastAsia"/>
                <w:sz w:val="21"/>
                <w:szCs w:val="21"/>
              </w:rPr>
              <w:t>左右居中</w:t>
            </w:r>
          </w:p>
        </w:tc>
      </w:tr>
    </w:tbl>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版心与版式</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每页四周留出空白，应避免内容顶到页面边缘，边界安全区域分别为左、右</w:t>
      </w:r>
      <w:r>
        <w:rPr>
          <w:rFonts w:eastAsia="宋体" w:hAnsi="宋体" w:hint="eastAsia"/>
          <w:sz w:val="21"/>
          <w:szCs w:val="21"/>
        </w:rPr>
        <w:t>130</w:t>
      </w:r>
      <w:r>
        <w:rPr>
          <w:rFonts w:ascii="宋体" w:eastAsia="宋体" w:hAnsi="宋体" w:hint="eastAsia"/>
          <w:sz w:val="21"/>
          <w:szCs w:val="21"/>
        </w:rPr>
        <w:t>像素内，上、下</w:t>
      </w:r>
      <w:r>
        <w:rPr>
          <w:rFonts w:eastAsia="宋体" w:hint="eastAsia"/>
          <w:sz w:val="21"/>
          <w:szCs w:val="21"/>
        </w:rPr>
        <w:t>90</w:t>
      </w:r>
      <w:r>
        <w:rPr>
          <w:rFonts w:ascii="宋体" w:eastAsia="宋体" w:hAnsi="宋体" w:hint="eastAsia"/>
          <w:sz w:val="21"/>
          <w:szCs w:val="21"/>
        </w:rPr>
        <w:t>像素内。</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4.</w:t>
      </w:r>
      <w:r>
        <w:rPr>
          <w:rFonts w:ascii="宋体" w:eastAsia="宋体" w:hAnsi="宋体" w:hint="eastAsia"/>
          <w:sz w:val="21"/>
          <w:szCs w:val="21"/>
        </w:rPr>
        <w:t>背景</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）背景色以简洁适中饱和度为主（颜色保持在一至两种色系内）；</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）背景和场景不宜变化过多；</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）文字、图形等内容应与背景对比醒目。</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5.</w:t>
      </w:r>
      <w:r>
        <w:rPr>
          <w:rFonts w:ascii="宋体" w:eastAsia="宋体" w:hAnsi="宋体" w:hint="eastAsia"/>
          <w:sz w:val="21"/>
          <w:szCs w:val="21"/>
        </w:rPr>
        <w:t>色调</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）色彩的选配应与课程科目相吻合；</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）每一短视频或一系列短视频在配色上应体现出系统性，可选一种主色调再加上一至两种辅助色进行匹配；</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）同一屏里文字不宜超出三种颜色。</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6.</w:t>
      </w:r>
      <w:r>
        <w:rPr>
          <w:rFonts w:ascii="宋体" w:eastAsia="宋体" w:hAnsi="宋体" w:hint="eastAsia"/>
          <w:sz w:val="21"/>
          <w:szCs w:val="21"/>
        </w:rPr>
        <w:t>字距与行距</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）标题：在文字少的情形下，字距放宽一倍体现舒展性；</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）正文：行距使用</w:t>
      </w:r>
      <w:r>
        <w:rPr>
          <w:rFonts w:eastAsia="宋体" w:hint="eastAsia"/>
          <w:sz w:val="21"/>
          <w:szCs w:val="21"/>
        </w:rPr>
        <w:t>1</w:t>
      </w:r>
      <w:r>
        <w:rPr>
          <w:rFonts w:ascii="宋体" w:eastAsia="宋体" w:hAnsi="宋体" w:hint="eastAsia"/>
          <w:sz w:val="21"/>
          <w:szCs w:val="21"/>
        </w:rPr>
        <w:t>行或</w:t>
      </w:r>
      <w:r>
        <w:rPr>
          <w:rFonts w:eastAsia="宋体" w:hint="eastAsia"/>
          <w:sz w:val="21"/>
          <w:szCs w:val="21"/>
        </w:rPr>
        <w:t>1.5</w:t>
      </w:r>
      <w:r>
        <w:rPr>
          <w:rFonts w:ascii="宋体" w:eastAsia="宋体" w:hAnsi="宋体" w:hint="eastAsia"/>
          <w:sz w:val="21"/>
          <w:szCs w:val="21"/>
        </w:rPr>
        <w:t>行，便于阅读。</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lastRenderedPageBreak/>
        <w:t xml:space="preserve">  </w:t>
      </w:r>
      <w:r>
        <w:rPr>
          <w:rFonts w:eastAsia="宋体" w:hAnsi="宋体" w:hint="eastAsia"/>
          <w:sz w:val="21"/>
          <w:szCs w:val="21"/>
        </w:rPr>
        <w:t>7.</w:t>
      </w:r>
      <w:r>
        <w:rPr>
          <w:rFonts w:ascii="宋体" w:eastAsia="宋体" w:hAnsi="宋体" w:hint="eastAsia"/>
          <w:sz w:val="21"/>
          <w:szCs w:val="21"/>
        </w:rPr>
        <w:t>配图</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）图像应清晰并能反映出内容主题思想，分辨率应为</w:t>
      </w:r>
      <w:r>
        <w:rPr>
          <w:rFonts w:eastAsia="宋体" w:hint="eastAsia"/>
          <w:sz w:val="21"/>
          <w:szCs w:val="21"/>
        </w:rPr>
        <w:t>72dpi</w:t>
      </w:r>
      <w:r>
        <w:rPr>
          <w:rFonts w:ascii="宋体" w:eastAsia="宋体" w:hAnsi="宋体" w:hint="eastAsia"/>
          <w:sz w:val="21"/>
          <w:szCs w:val="21"/>
        </w:rPr>
        <w:t>以上；</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）图片不可加长或压窄，防止变形；</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）图形使用应通俗易懂，便于理解。</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8.</w:t>
      </w:r>
      <w:r>
        <w:rPr>
          <w:rFonts w:ascii="宋体" w:eastAsia="宋体" w:hAnsi="宋体" w:hint="eastAsia"/>
          <w:sz w:val="21"/>
          <w:szCs w:val="21"/>
        </w:rPr>
        <w:t>修饰</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1</w:t>
      </w:r>
      <w:r>
        <w:rPr>
          <w:rFonts w:ascii="宋体" w:eastAsia="宋体" w:hAnsi="宋体" w:hint="eastAsia"/>
          <w:sz w:val="21"/>
          <w:szCs w:val="21"/>
        </w:rPr>
        <w:t>）细线条的运用比粗线条更显精致；</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2</w:t>
      </w:r>
      <w:r>
        <w:rPr>
          <w:rFonts w:ascii="宋体" w:eastAsia="宋体" w:hAnsi="宋体" w:hint="eastAsia"/>
          <w:sz w:val="21"/>
          <w:szCs w:val="21"/>
        </w:rPr>
        <w:t>）扁平式的装饰更接近时代审美；</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3</w:t>
      </w:r>
      <w:r>
        <w:rPr>
          <w:rFonts w:ascii="宋体" w:eastAsia="宋体" w:hAnsi="宋体" w:hint="eastAsia"/>
          <w:sz w:val="21"/>
          <w:szCs w:val="21"/>
        </w:rPr>
        <w:t>）有趣味的装饰通常更能吸引人。</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w:t>
      </w:r>
      <w:r>
        <w:rPr>
          <w:rFonts w:eastAsia="宋体" w:hAnsi="宋体" w:hint="eastAsia"/>
          <w:sz w:val="21"/>
          <w:szCs w:val="21"/>
        </w:rPr>
        <w:t>9.</w:t>
      </w:r>
      <w:r>
        <w:rPr>
          <w:rFonts w:ascii="宋体" w:eastAsia="宋体" w:hAnsi="宋体" w:hint="eastAsia"/>
          <w:sz w:val="21"/>
          <w:szCs w:val="21"/>
        </w:rPr>
        <w:t>版权来源</w:t>
      </w:r>
    </w:p>
    <w:p w:rsidR="000D0A3B" w:rsidRDefault="000D0A3B" w:rsidP="000D0A3B">
      <w:pPr>
        <w:widowControl/>
        <w:shd w:val="clear" w:color="auto" w:fill="FFFFFF"/>
        <w:spacing w:line="540" w:lineRule="atLeast"/>
        <w:jc w:val="left"/>
        <w:rPr>
          <w:rFonts w:eastAsia="宋体" w:hAnsi="宋体" w:hint="eastAsia"/>
          <w:sz w:val="21"/>
          <w:szCs w:val="21"/>
        </w:rPr>
      </w:pPr>
      <w:r>
        <w:rPr>
          <w:rFonts w:ascii="宋体" w:eastAsia="宋体" w:hAnsi="宋体" w:hint="eastAsia"/>
          <w:sz w:val="21"/>
          <w:szCs w:val="21"/>
        </w:rPr>
        <w:t xml:space="preserve">  素材选用注意版权，涉及版权问题须加入</w:t>
      </w:r>
      <w:r>
        <w:rPr>
          <w:rFonts w:eastAsia="宋体" w:hAnsi="宋体" w:hint="eastAsia"/>
          <w:sz w:val="21"/>
          <w:szCs w:val="21"/>
        </w:rPr>
        <w:t>“版权来源”信息。</w:t>
      </w:r>
    </w:p>
    <w:p w:rsidR="001D7C9E" w:rsidRDefault="001D7C9E"/>
    <w:sectPr w:rsidR="001D7C9E" w:rsidSect="001D7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0A3B"/>
    <w:rsid w:val="000D0A3B"/>
    <w:rsid w:val="001D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3B"/>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2018-07-09T02:46:00Z</dcterms:created>
  <dcterms:modified xsi:type="dcterms:W3CDTF">2018-07-09T02:46:00Z</dcterms:modified>
</cp:coreProperties>
</file>